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820"/>
        <w:gridCol w:w="1275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专家意见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提出人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“去重”建议修改为“解碰撞”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天线覆盖建议结合系统深入分析，当前天线方案的选取可以考虑优先保证解调性能，可适当牺牲覆盖，具体的判定准则会后与沈小龙讨论确定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解碰撞建议把资源能力预留，首要考虑接收有效性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辐照试验建议往前做，4月2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日联试的产品希望是做完抗辐照试验的硬件状态固化的状态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陈夏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研制计划中，地面接收数据解调性能的验证、装星之后的测试环境由谁提供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是否有其它接口未明确的建议补充一页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整星EMC建议做专项试验摸底，对星体加屏蔽，可以考虑关闭部分载荷等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目前</w:t>
            </w:r>
            <w:r>
              <w:rPr>
                <w:rFonts w:hint="eastAsia"/>
                <w:sz w:val="21"/>
                <w:szCs w:val="21"/>
              </w:rPr>
              <w:t>摸底</w:t>
            </w:r>
            <w:r>
              <w:rPr>
                <w:sz w:val="21"/>
                <w:szCs w:val="21"/>
              </w:rPr>
              <w:t>大约-140dBm/Hz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天线的增益、方向图实测验证作为待办事项需要完成，1</w:t>
            </w:r>
            <w:r>
              <w:rPr>
                <w:sz w:val="21"/>
                <w:szCs w:val="21"/>
              </w:rPr>
              <w:t>60</w:t>
            </w:r>
            <w:r>
              <w:rPr>
                <w:rFonts w:hint="eastAsia"/>
                <w:sz w:val="21"/>
                <w:szCs w:val="21"/>
              </w:rPr>
              <w:t>MHz频段的环境需要关注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三模冗余具体哪些模块、接口上做了相关设计在方案中细化说明，专家可以把把关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陆犇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建议考虑板级或核心芯片备份方案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软件可靠性设计</w:t>
            </w:r>
            <w:r>
              <w:rPr>
                <w:rFonts w:hint="eastAsia"/>
                <w:sz w:val="21"/>
                <w:szCs w:val="21"/>
              </w:rPr>
              <w:t>建议在方案中按照系统级的设计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载荷需要</w:t>
            </w:r>
            <w:r>
              <w:rPr>
                <w:rFonts w:hint="eastAsia"/>
                <w:color w:val="FF0000"/>
                <w:sz w:val="21"/>
                <w:szCs w:val="21"/>
              </w:rPr>
              <w:t>增加干扰检测的功能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后续配单八木天线当前方案是否具有继承性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软件加载需要重点关注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邵丰伟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合路器单点失效风险，需要重点分析确保合路器失效时不影响随路遥测信号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沈小龙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在数传协议对接确定后对FPGA资源利用率重新评估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沈小龙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PS</w:t>
            </w:r>
            <w:r>
              <w:rPr>
                <w:color w:val="FF0000"/>
                <w:sz w:val="21"/>
                <w:szCs w:val="21"/>
              </w:rPr>
              <w:t>/PL</w:t>
            </w:r>
            <w:r>
              <w:rPr>
                <w:rFonts w:hint="eastAsia"/>
                <w:color w:val="FF0000"/>
                <w:sz w:val="21"/>
                <w:szCs w:val="21"/>
              </w:rPr>
              <w:t>的功能模块分布细化，说明哪些占用PS资源，哪些占用PL资源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黄佳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研制计划中增加软件的需求规格评审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沈小龙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天线性能的分析中除了φ0和φ</w:t>
            </w:r>
            <w:r>
              <w:rPr>
                <w:sz w:val="21"/>
                <w:szCs w:val="21"/>
              </w:rPr>
              <w:t>90</w:t>
            </w:r>
            <w:r>
              <w:rPr>
                <w:rFonts w:hint="eastAsia"/>
                <w:sz w:val="21"/>
                <w:szCs w:val="21"/>
              </w:rPr>
              <w:t>的分析，其它切面的分析数据建议整理提交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沈小龙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协议中对于数据的时效性，AIS与星务平台之间RS</w:t>
            </w:r>
            <w:r>
              <w:rPr>
                <w:sz w:val="21"/>
                <w:szCs w:val="21"/>
              </w:rPr>
              <w:t>422</w:t>
            </w:r>
            <w:r>
              <w:rPr>
                <w:rFonts w:hint="eastAsia"/>
                <w:sz w:val="21"/>
                <w:szCs w:val="21"/>
              </w:rPr>
              <w:t>之间的时间信息传递补充说明，格思给到AIS的时间信息格式，AIS进行UTC时间转换的方式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沈小龙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在轨重构可能涉及接口协议的变化，需要详细对接确认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刘正全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F5946"/>
    <w:multiLevelType w:val="multilevel"/>
    <w:tmpl w:val="685F5946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TQ0NTdjNzFlYjg4OWEwZDYyMTljOTY0OTM2ZWMifQ=="/>
  </w:docVars>
  <w:rsids>
    <w:rsidRoot w:val="00000000"/>
    <w:rsid w:val="180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格式，首行缩进2字符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2024-02-26T01:40:59Z</dcterms:created>
  <dc:creator>ZKW</dc:creator>
  <cp:lastModifiedBy>xue</cp:lastModifiedBy>
  <dcterms:modified xsi:type="dcterms:W3CDTF">2024-02-26T01:41:04Z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15E2ED0085AE4BA0BEB0654ADCAD5728_12</vt:lpwstr>
  </property>
</Properties>
</file>