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10.vsdx" ContentType="application/vnd.ms-visio.drawing"/>
  <Override PartName="/word/embeddings/Microsoft_Visio___11.vsdx" ContentType="application/vnd.ms-visio.drawing"/>
  <Override PartName="/word/embeddings/Microsoft_Visio___12.vsdx" ContentType="application/vnd.ms-visio.drawing"/>
  <Override PartName="/word/embeddings/Microsoft_Visio___13.vsdx" ContentType="application/vnd.ms-visio.drawing"/>
  <Override PartName="/word/embeddings/Microsoft_Visio___14.vsdx" ContentType="application/vnd.ms-visio.drawing"/>
  <Override PartName="/word/embeddings/Microsoft_Visio___15.vsdx" ContentType="application/vnd.ms-visio.drawing"/>
  <Override PartName="/word/embeddings/Microsoft_Visio___16.vsdx" ContentType="application/vnd.ms-visio.drawing"/>
  <Override PartName="/word/embeddings/Microsoft_Visio___17.vsdx" ContentType="application/vnd.ms-visio.drawing"/>
  <Override PartName="/word/embeddings/Microsoft_Visio___18.vsdx" ContentType="application/vnd.ms-visio.drawing"/>
  <Override PartName="/word/embeddings/Microsoft_Visio___19.vsdx" ContentType="application/vnd.ms-visio.drawing"/>
  <Override PartName="/word/embeddings/Microsoft_Visio___2.vsdx" ContentType="application/vnd.ms-visio.drawing"/>
  <Override PartName="/word/embeddings/Microsoft_Visio___20.vsdx" ContentType="application/vnd.ms-visio.drawing"/>
  <Override PartName="/word/embeddings/Microsoft_Visio___21.vsdx" ContentType="application/vnd.ms-visio.drawing"/>
  <Override PartName="/word/embeddings/Microsoft_Visio___22.vsdx" ContentType="application/vnd.ms-visio.drawing"/>
  <Override PartName="/word/embeddings/Microsoft_Visio___23.vsdx" ContentType="application/vnd.ms-visio.drawing"/>
  <Override PartName="/word/embeddings/Microsoft_Visio___3.vsdx" ContentType="application/vnd.ms-visio.drawing"/>
  <Override PartName="/word/embeddings/Microsoft_Visio___4.vsdx" ContentType="application/vnd.ms-visio.drawing"/>
  <Override PartName="/word/embeddings/Microsoft_Visio___5.vsdx" ContentType="application/vnd.ms-visio.drawing"/>
  <Override PartName="/word/embeddings/Microsoft_Visio___6.vsdx" ContentType="application/vnd.ms-visio.drawing"/>
  <Override PartName="/word/embeddings/Microsoft_Visio___7.vsdx" ContentType="application/vnd.ms-visio.drawing"/>
  <Override PartName="/word/embeddings/Microsoft_Visio___8.vsdx" ContentType="application/vnd.ms-visio.drawing"/>
  <Override PartName="/word/embeddings/Microsoft_Visio___9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2"/>
        <w:tblW w:w="86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426"/>
        <w:gridCol w:w="2149"/>
        <w:gridCol w:w="426"/>
        <w:gridCol w:w="2907"/>
      </w:tblGrid>
      <w:tr w14:paraId="3B0C2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3120" w:type="dxa"/>
            <w:gridSpan w:val="2"/>
            <w:vAlign w:val="center"/>
          </w:tcPr>
          <w:p w14:paraId="7E54969C">
            <w:pPr>
              <w:pStyle w:val="4"/>
            </w:pPr>
            <w:permStart w:id="0" w:edGrp="everyone"/>
          </w:p>
        </w:tc>
        <w:tc>
          <w:tcPr>
            <w:tcW w:w="2575" w:type="dxa"/>
            <w:gridSpan w:val="2"/>
            <w:vAlign w:val="center"/>
          </w:tcPr>
          <w:p w14:paraId="0E22E9D1">
            <w:pPr>
              <w:pStyle w:val="46"/>
            </w:pPr>
          </w:p>
        </w:tc>
        <w:tc>
          <w:tcPr>
            <w:tcW w:w="2907" w:type="dxa"/>
          </w:tcPr>
          <w:p w14:paraId="6C70B63D">
            <w:pPr>
              <w:pStyle w:val="46"/>
            </w:pPr>
          </w:p>
        </w:tc>
      </w:tr>
      <w:tr w14:paraId="3C83C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694" w:type="dxa"/>
            <w:vMerge w:val="restart"/>
          </w:tcPr>
          <w:p w14:paraId="5D66BD78">
            <w:pPr>
              <w:tabs>
                <w:tab w:val="left" w:pos="691"/>
                <w:tab w:val="center" w:pos="4181"/>
              </w:tabs>
              <w:rPr>
                <w:rFonts w:ascii="宋体" w:hAnsi="宋体"/>
                <w:b/>
                <w:sz w:val="32"/>
                <w:szCs w:val="32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107315</wp:posOffset>
                  </wp:positionV>
                  <wp:extent cx="1390015" cy="1307465"/>
                  <wp:effectExtent l="0" t="0" r="1270" b="6985"/>
                  <wp:wrapNone/>
                  <wp:docPr id="11055188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51884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8" w:type="dxa"/>
            <w:gridSpan w:val="4"/>
            <w:vAlign w:val="center"/>
          </w:tcPr>
          <w:p w14:paraId="497F87A6">
            <w:pPr>
              <w:pStyle w:val="45"/>
            </w:pPr>
            <w:r>
              <w:rPr>
                <w:rFonts w:hint="eastAsia"/>
              </w:rPr>
              <w:t>密    级：</w:t>
            </w:r>
            <w:r>
              <w:rPr>
                <w:rFonts w:hint="eastAsia"/>
                <w:u w:val="single"/>
              </w:rPr>
              <w:t xml:space="preserve">   内部   </w:t>
            </w:r>
          </w:p>
        </w:tc>
      </w:tr>
      <w:tr w14:paraId="09F0AA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694" w:type="dxa"/>
            <w:vMerge w:val="continue"/>
          </w:tcPr>
          <w:p w14:paraId="26ECA594">
            <w:pPr>
              <w:tabs>
                <w:tab w:val="left" w:pos="691"/>
                <w:tab w:val="center" w:pos="4181"/>
              </w:tabs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5908" w:type="dxa"/>
            <w:gridSpan w:val="4"/>
            <w:vAlign w:val="center"/>
          </w:tcPr>
          <w:p w14:paraId="5F98F4B5">
            <w:pPr>
              <w:pStyle w:val="45"/>
            </w:pPr>
            <w:r>
              <w:rPr>
                <w:rFonts w:hint="eastAsia"/>
              </w:rPr>
              <w:t xml:space="preserve">版    本：   V0.1   </w:t>
            </w:r>
          </w:p>
        </w:tc>
      </w:tr>
      <w:tr w14:paraId="4871E3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694" w:type="dxa"/>
            <w:vMerge w:val="continue"/>
          </w:tcPr>
          <w:p w14:paraId="70D1AB42">
            <w:pPr>
              <w:tabs>
                <w:tab w:val="left" w:pos="691"/>
                <w:tab w:val="center" w:pos="4181"/>
              </w:tabs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5908" w:type="dxa"/>
            <w:gridSpan w:val="4"/>
            <w:vAlign w:val="center"/>
          </w:tcPr>
          <w:p w14:paraId="36A3E416">
            <w:pPr>
              <w:pStyle w:val="45"/>
            </w:pPr>
            <w:r>
              <w:rPr>
                <w:rFonts w:hint="eastAsia"/>
              </w:rPr>
              <w:t xml:space="preserve">页    数：    </w:t>
            </w:r>
            <w:r>
              <w:fldChar w:fldCharType="begin"/>
            </w:r>
            <w:r>
              <w:instrText xml:space="preserve"> NUMPAGES  \# "0"  \* MERGEFORMAT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  <w:r>
              <w:rPr>
                <w:rFonts w:hint="eastAsia"/>
              </w:rPr>
              <w:t xml:space="preserve">    </w:t>
            </w:r>
          </w:p>
        </w:tc>
      </w:tr>
      <w:tr w14:paraId="5F063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694" w:type="dxa"/>
            <w:vMerge w:val="continue"/>
          </w:tcPr>
          <w:p w14:paraId="5420595D">
            <w:pPr>
              <w:tabs>
                <w:tab w:val="left" w:pos="691"/>
                <w:tab w:val="center" w:pos="4181"/>
              </w:tabs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2575" w:type="dxa"/>
            <w:gridSpan w:val="2"/>
            <w:vAlign w:val="center"/>
          </w:tcPr>
          <w:p w14:paraId="78113759">
            <w:pPr>
              <w:pStyle w:val="46"/>
            </w:pPr>
          </w:p>
        </w:tc>
        <w:tc>
          <w:tcPr>
            <w:tcW w:w="3333" w:type="dxa"/>
            <w:gridSpan w:val="2"/>
            <w:vAlign w:val="center"/>
          </w:tcPr>
          <w:p w14:paraId="4785471F">
            <w:pPr>
              <w:pStyle w:val="46"/>
            </w:pPr>
          </w:p>
        </w:tc>
      </w:tr>
      <w:tr w14:paraId="6040B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  <w:jc w:val="center"/>
        </w:trPr>
        <w:tc>
          <w:tcPr>
            <w:tcW w:w="2694" w:type="dxa"/>
            <w:vMerge w:val="continue"/>
          </w:tcPr>
          <w:p w14:paraId="0CAF37A4">
            <w:pPr>
              <w:tabs>
                <w:tab w:val="left" w:pos="691"/>
                <w:tab w:val="center" w:pos="4181"/>
              </w:tabs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2575" w:type="dxa"/>
            <w:gridSpan w:val="2"/>
            <w:vAlign w:val="center"/>
          </w:tcPr>
          <w:p w14:paraId="38F64F18">
            <w:pPr>
              <w:pStyle w:val="46"/>
            </w:pPr>
          </w:p>
        </w:tc>
        <w:tc>
          <w:tcPr>
            <w:tcW w:w="3333" w:type="dxa"/>
            <w:gridSpan w:val="2"/>
            <w:vAlign w:val="center"/>
          </w:tcPr>
          <w:p w14:paraId="5C450E41">
            <w:pPr>
              <w:pStyle w:val="46"/>
            </w:pPr>
          </w:p>
        </w:tc>
      </w:tr>
      <w:tr w14:paraId="1ADEDD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1" w:hRule="atLeast"/>
          <w:jc w:val="center"/>
        </w:trPr>
        <w:tc>
          <w:tcPr>
            <w:tcW w:w="2694" w:type="dxa"/>
            <w:vAlign w:val="center"/>
          </w:tcPr>
          <w:p w14:paraId="2DFFF928">
            <w:pPr>
              <w:pStyle w:val="68"/>
              <w:rPr>
                <w:rStyle w:val="35"/>
                <w:b w:val="0"/>
                <w:bCs w:val="0"/>
              </w:rPr>
            </w:pPr>
            <w:r>
              <w:rPr>
                <w:rStyle w:val="35"/>
                <w:rFonts w:hint="eastAsia"/>
                <w:b w:val="0"/>
                <w:bCs w:val="0"/>
              </w:rPr>
              <w:t>文档名称：</w:t>
            </w:r>
          </w:p>
        </w:tc>
        <w:tc>
          <w:tcPr>
            <w:tcW w:w="5908" w:type="dxa"/>
            <w:gridSpan w:val="4"/>
            <w:vAlign w:val="center"/>
          </w:tcPr>
          <w:p w14:paraId="50064055">
            <w:pPr>
              <w:pStyle w:val="68"/>
            </w:pPr>
            <w:r>
              <w:rPr>
                <w:rFonts w:hint="eastAsia"/>
              </w:rPr>
              <w:t>千帆VDES星座系统</w:t>
            </w:r>
          </w:p>
        </w:tc>
      </w:tr>
      <w:tr w14:paraId="40A85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  <w:jc w:val="center"/>
        </w:trPr>
        <w:tc>
          <w:tcPr>
            <w:tcW w:w="2694" w:type="dxa"/>
            <w:vAlign w:val="center"/>
          </w:tcPr>
          <w:p w14:paraId="72EB767C">
            <w:pPr>
              <w:pStyle w:val="46"/>
            </w:pPr>
          </w:p>
        </w:tc>
        <w:tc>
          <w:tcPr>
            <w:tcW w:w="5908" w:type="dxa"/>
            <w:gridSpan w:val="4"/>
            <w:vAlign w:val="center"/>
          </w:tcPr>
          <w:p w14:paraId="4E2D732C">
            <w:pPr>
              <w:pStyle w:val="68"/>
            </w:pPr>
            <w:r>
              <w:rPr>
                <w:rFonts w:hint="eastAsia"/>
              </w:rPr>
              <w:t>空间路由详细设计报告</w:t>
            </w:r>
          </w:p>
        </w:tc>
      </w:tr>
      <w:tr w14:paraId="361AF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  <w:jc w:val="center"/>
        </w:trPr>
        <w:tc>
          <w:tcPr>
            <w:tcW w:w="8602" w:type="dxa"/>
            <w:gridSpan w:val="5"/>
            <w:vAlign w:val="center"/>
          </w:tcPr>
          <w:p w14:paraId="14199FFA">
            <w:pPr>
              <w:pStyle w:val="46"/>
            </w:pPr>
            <w:r>
              <w:rPr>
                <w:rFonts w:hint="eastAsia"/>
              </w:rPr>
              <w:t>文档编号</w:t>
            </w:r>
          </w:p>
        </w:tc>
      </w:tr>
      <w:tr w14:paraId="786E1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8602" w:type="dxa"/>
            <w:gridSpan w:val="5"/>
            <w:vAlign w:val="center"/>
          </w:tcPr>
          <w:p w14:paraId="44C5EEFC">
            <w:pPr>
              <w:pStyle w:val="45"/>
            </w:pPr>
            <w:r>
              <w:rPr>
                <w:rFonts w:hint="eastAsia"/>
              </w:rPr>
              <w:t>编  写：_______________________</w:t>
            </w:r>
          </w:p>
        </w:tc>
      </w:tr>
      <w:tr w14:paraId="55553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8602" w:type="dxa"/>
            <w:gridSpan w:val="5"/>
            <w:vAlign w:val="center"/>
          </w:tcPr>
          <w:p w14:paraId="31DF0F28">
            <w:pPr>
              <w:pStyle w:val="45"/>
            </w:pPr>
            <w:r>
              <w:rPr>
                <w:rFonts w:hint="eastAsia"/>
              </w:rPr>
              <w:t>校  对：_______________________</w:t>
            </w:r>
          </w:p>
        </w:tc>
      </w:tr>
      <w:tr w14:paraId="63E86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8602" w:type="dxa"/>
            <w:gridSpan w:val="5"/>
            <w:vAlign w:val="center"/>
          </w:tcPr>
          <w:p w14:paraId="40E67377">
            <w:pPr>
              <w:pStyle w:val="45"/>
            </w:pPr>
            <w:r>
              <w:rPr>
                <w:rFonts w:hint="eastAsia"/>
              </w:rPr>
              <w:t>审  核：_______________________</w:t>
            </w:r>
          </w:p>
        </w:tc>
      </w:tr>
      <w:tr w14:paraId="75B10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602" w:type="dxa"/>
            <w:gridSpan w:val="5"/>
            <w:vAlign w:val="center"/>
          </w:tcPr>
          <w:p w14:paraId="66CA306F">
            <w:pPr>
              <w:pStyle w:val="45"/>
            </w:pPr>
            <w:r>
              <w:rPr>
                <w:rFonts w:hint="eastAsia"/>
              </w:rPr>
              <w:t>标准化：_______________________</w:t>
            </w:r>
          </w:p>
        </w:tc>
      </w:tr>
      <w:tr w14:paraId="5AC166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8602" w:type="dxa"/>
            <w:gridSpan w:val="5"/>
            <w:vAlign w:val="center"/>
          </w:tcPr>
          <w:p w14:paraId="240123A6">
            <w:pPr>
              <w:pStyle w:val="45"/>
            </w:pPr>
            <w:r>
              <w:rPr>
                <w:rFonts w:hint="eastAsia"/>
              </w:rPr>
              <w:t>批  准：_______________________</w:t>
            </w:r>
          </w:p>
        </w:tc>
      </w:tr>
      <w:tr w14:paraId="76717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  <w:jc w:val="center"/>
        </w:trPr>
        <w:tc>
          <w:tcPr>
            <w:tcW w:w="8602" w:type="dxa"/>
            <w:gridSpan w:val="5"/>
            <w:vAlign w:val="center"/>
          </w:tcPr>
          <w:p w14:paraId="48977BB4">
            <w:pPr>
              <w:pStyle w:val="46"/>
            </w:pPr>
          </w:p>
        </w:tc>
      </w:tr>
      <w:tr w14:paraId="36752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8602" w:type="dxa"/>
            <w:gridSpan w:val="5"/>
            <w:vAlign w:val="center"/>
          </w:tcPr>
          <w:p w14:paraId="794DBDBE">
            <w:pPr>
              <w:pStyle w:val="45"/>
            </w:pPr>
            <w:r>
              <w:rPr>
                <w:rFonts w:hint="eastAsia"/>
              </w:rPr>
              <w:t>上海瀚讯技术股份有限公司</w:t>
            </w:r>
          </w:p>
        </w:tc>
      </w:tr>
      <w:tr w14:paraId="15DAE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02" w:type="dxa"/>
            <w:gridSpan w:val="5"/>
            <w:vAlign w:val="center"/>
          </w:tcPr>
          <w:p w14:paraId="475B550F">
            <w:pPr>
              <w:pStyle w:val="45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/>
              </w:rPr>
              <w:t>2024年7月</w:t>
            </w:r>
          </w:p>
        </w:tc>
      </w:tr>
    </w:tbl>
    <w:p w14:paraId="4A94CA7B">
      <w:pPr>
        <w:pStyle w:val="4"/>
        <w:sectPr>
          <w:headerReference r:id="rId5" w:type="first"/>
          <w:footerReference r:id="rId7" w:type="first"/>
          <w:headerReference r:id="rId3" w:type="default"/>
          <w:headerReference r:id="rId4" w:type="even"/>
          <w:footerReference r:id="rId6" w:type="even"/>
          <w:pgSz w:w="11906" w:h="16838"/>
          <w:pgMar w:top="1418" w:right="1701" w:bottom="1418" w:left="1701" w:header="851" w:footer="992" w:gutter="0"/>
          <w:cols w:space="425" w:num="1"/>
          <w:docGrid w:type="lines" w:linePitch="312" w:charSpace="0"/>
        </w:sectPr>
      </w:pPr>
    </w:p>
    <w:p w14:paraId="1BF96065">
      <w:pPr>
        <w:ind w:left="181" w:leftChars="27" w:hanging="132" w:hangingChars="41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会签记录</w:t>
      </w:r>
    </w:p>
    <w:tbl>
      <w:tblPr>
        <w:tblStyle w:val="32"/>
        <w:tblW w:w="835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694"/>
        <w:gridCol w:w="2835"/>
      </w:tblGrid>
      <w:tr w14:paraId="6F95C3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3C275">
            <w:pPr>
              <w:pStyle w:val="55"/>
            </w:pPr>
            <w:r>
              <w:rPr>
                <w:rFonts w:hint="eastAsia"/>
              </w:rPr>
              <w:t>会签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7CC15">
            <w:pPr>
              <w:pStyle w:val="55"/>
            </w:pPr>
            <w:r>
              <w:rPr>
                <w:rFonts w:hint="eastAsia"/>
              </w:rPr>
              <w:t>会签所属部门/系统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D29B4">
            <w:pPr>
              <w:pStyle w:val="55"/>
            </w:pPr>
            <w:r>
              <w:rPr>
                <w:rFonts w:hint="eastAsia"/>
              </w:rPr>
              <w:t>会签日期</w:t>
            </w:r>
          </w:p>
        </w:tc>
      </w:tr>
      <w:tr w14:paraId="07F69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14D51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800B8A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7BBA6">
            <w:pPr>
              <w:pStyle w:val="46"/>
            </w:pPr>
          </w:p>
        </w:tc>
      </w:tr>
      <w:tr w14:paraId="38042F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CE442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D78CA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FBBCA">
            <w:pPr>
              <w:pStyle w:val="46"/>
            </w:pPr>
          </w:p>
        </w:tc>
      </w:tr>
      <w:tr w14:paraId="3B3EB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EB909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D53F4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A8EA2">
            <w:pPr>
              <w:pStyle w:val="46"/>
            </w:pPr>
          </w:p>
        </w:tc>
      </w:tr>
      <w:tr w14:paraId="799CC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9DD9A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7434B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D993F">
            <w:pPr>
              <w:pStyle w:val="46"/>
            </w:pPr>
          </w:p>
        </w:tc>
      </w:tr>
      <w:tr w14:paraId="63BB3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15B0B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E70DC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CAD26">
            <w:pPr>
              <w:pStyle w:val="46"/>
            </w:pPr>
          </w:p>
        </w:tc>
      </w:tr>
      <w:tr w14:paraId="0AB04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7A46B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B5598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F6EF4">
            <w:pPr>
              <w:pStyle w:val="46"/>
            </w:pPr>
          </w:p>
        </w:tc>
      </w:tr>
      <w:tr w14:paraId="1B1FBB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44389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F9A30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AFEDA">
            <w:pPr>
              <w:pStyle w:val="46"/>
            </w:pPr>
          </w:p>
        </w:tc>
      </w:tr>
      <w:tr w14:paraId="056E10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28453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B3A3E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65169">
            <w:pPr>
              <w:pStyle w:val="46"/>
            </w:pPr>
          </w:p>
        </w:tc>
      </w:tr>
      <w:tr w14:paraId="1372EE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6376C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090C9E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5CFD6">
            <w:pPr>
              <w:pStyle w:val="46"/>
            </w:pPr>
          </w:p>
        </w:tc>
      </w:tr>
      <w:tr w14:paraId="3B206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DDF16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42F46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679EF">
            <w:pPr>
              <w:pStyle w:val="46"/>
            </w:pPr>
          </w:p>
        </w:tc>
      </w:tr>
      <w:tr w14:paraId="2E59A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A6132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FB154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2A826">
            <w:pPr>
              <w:pStyle w:val="46"/>
            </w:pPr>
          </w:p>
        </w:tc>
      </w:tr>
      <w:tr w14:paraId="54221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55944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E5CFF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26D91">
            <w:pPr>
              <w:pStyle w:val="46"/>
            </w:pPr>
          </w:p>
        </w:tc>
      </w:tr>
      <w:tr w14:paraId="1F70C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80A6C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4A1A1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999E0">
            <w:pPr>
              <w:pStyle w:val="46"/>
            </w:pPr>
          </w:p>
        </w:tc>
      </w:tr>
      <w:tr w14:paraId="7A0F9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4F16C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E9DB8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55B62">
            <w:pPr>
              <w:pStyle w:val="46"/>
            </w:pPr>
          </w:p>
        </w:tc>
      </w:tr>
      <w:tr w14:paraId="329F8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5F6A7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44900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140CC">
            <w:pPr>
              <w:pStyle w:val="46"/>
            </w:pPr>
          </w:p>
        </w:tc>
      </w:tr>
      <w:tr w14:paraId="04B9D8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9E087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76C7E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9E242">
            <w:pPr>
              <w:pStyle w:val="46"/>
            </w:pPr>
          </w:p>
        </w:tc>
      </w:tr>
      <w:tr w14:paraId="7ECB01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5FD4D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C36FE1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7DCB5">
            <w:pPr>
              <w:pStyle w:val="46"/>
            </w:pPr>
          </w:p>
        </w:tc>
      </w:tr>
      <w:tr w14:paraId="70E08A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F2DAA2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A4D26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E6B8B">
            <w:pPr>
              <w:pStyle w:val="46"/>
            </w:pPr>
          </w:p>
        </w:tc>
      </w:tr>
      <w:tr w14:paraId="0EBA1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EF20D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D8C70C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58E79C">
            <w:pPr>
              <w:pStyle w:val="46"/>
            </w:pPr>
          </w:p>
        </w:tc>
      </w:tr>
      <w:tr w14:paraId="225D4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4A2EA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AAFA4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10F1B">
            <w:pPr>
              <w:pStyle w:val="46"/>
            </w:pPr>
          </w:p>
        </w:tc>
      </w:tr>
      <w:tr w14:paraId="1A4D2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AF274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543D6F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59760">
            <w:pPr>
              <w:pStyle w:val="46"/>
            </w:pPr>
          </w:p>
        </w:tc>
      </w:tr>
      <w:tr w14:paraId="6FAC9E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D20F9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6A01D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C94018">
            <w:pPr>
              <w:pStyle w:val="46"/>
            </w:pPr>
          </w:p>
        </w:tc>
      </w:tr>
      <w:tr w14:paraId="264A5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A2CED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A6613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AC8E8">
            <w:pPr>
              <w:pStyle w:val="46"/>
            </w:pPr>
          </w:p>
        </w:tc>
      </w:tr>
      <w:tr w14:paraId="450A69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F3E24">
            <w:pPr>
              <w:pStyle w:val="46"/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F9569">
            <w:pPr>
              <w:pStyle w:val="46"/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3CF09">
            <w:pPr>
              <w:pStyle w:val="46"/>
            </w:pPr>
          </w:p>
        </w:tc>
      </w:tr>
    </w:tbl>
    <w:p w14:paraId="0B7F1FA3">
      <w:pPr>
        <w:pStyle w:val="4"/>
        <w:rPr>
          <w:lang w:val="zh-CN"/>
        </w:rPr>
        <w:sectPr>
          <w:pgSz w:w="11906" w:h="16838"/>
          <w:pgMar w:top="1418" w:right="1701" w:bottom="1418" w:left="1701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20793F9D">
      <w:pPr>
        <w:ind w:firstLine="360"/>
        <w:jc w:val="center"/>
        <w:rPr>
          <w:rFonts w:ascii="宋体" w:hAnsi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文档修改记录</w:t>
      </w:r>
    </w:p>
    <w:tbl>
      <w:tblPr>
        <w:tblStyle w:val="32"/>
        <w:tblpPr w:leftFromText="180" w:rightFromText="180" w:vertAnchor="text" w:horzAnchor="margin" w:tblpXSpec="center" w:tblpY="2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417"/>
        <w:gridCol w:w="3544"/>
        <w:gridCol w:w="1706"/>
      </w:tblGrid>
      <w:tr w14:paraId="563D9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668A23E1">
            <w:pPr>
              <w:pStyle w:val="55"/>
            </w:pPr>
            <w:r>
              <w:rPr>
                <w:rFonts w:hint="eastAsia"/>
              </w:rPr>
              <w:t>更改单编号</w:t>
            </w:r>
          </w:p>
        </w:tc>
        <w:tc>
          <w:tcPr>
            <w:tcW w:w="1417" w:type="dxa"/>
            <w:vAlign w:val="center"/>
          </w:tcPr>
          <w:p w14:paraId="5C8F5144">
            <w:pPr>
              <w:pStyle w:val="55"/>
            </w:pPr>
            <w:r>
              <w:br w:type="page"/>
            </w:r>
            <w:r>
              <w:t>日期</w:t>
            </w:r>
          </w:p>
        </w:tc>
        <w:tc>
          <w:tcPr>
            <w:tcW w:w="3544" w:type="dxa"/>
            <w:vAlign w:val="center"/>
          </w:tcPr>
          <w:p w14:paraId="012D9871">
            <w:pPr>
              <w:pStyle w:val="55"/>
            </w:pPr>
            <w:r>
              <w:t>更改摘要</w:t>
            </w:r>
          </w:p>
        </w:tc>
        <w:tc>
          <w:tcPr>
            <w:tcW w:w="1706" w:type="dxa"/>
            <w:vAlign w:val="center"/>
          </w:tcPr>
          <w:p w14:paraId="4D3DC865">
            <w:pPr>
              <w:pStyle w:val="55"/>
            </w:pPr>
            <w:r>
              <w:t>修改人</w:t>
            </w:r>
          </w:p>
        </w:tc>
      </w:tr>
      <w:tr w14:paraId="3116E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14E3BDCC">
            <w:pPr>
              <w:pStyle w:val="46"/>
            </w:pPr>
            <w:r>
              <w:rPr>
                <w:rFonts w:hint="eastAsia"/>
              </w:rPr>
              <w:t>V0.1</w:t>
            </w:r>
          </w:p>
        </w:tc>
        <w:tc>
          <w:tcPr>
            <w:tcW w:w="1417" w:type="dxa"/>
            <w:vAlign w:val="center"/>
          </w:tcPr>
          <w:p w14:paraId="7FF4F360">
            <w:pPr>
              <w:pStyle w:val="46"/>
            </w:pPr>
            <w:r>
              <w:rPr>
                <w:rFonts w:hint="eastAsia"/>
              </w:rPr>
              <w:t>20240820</w:t>
            </w:r>
          </w:p>
        </w:tc>
        <w:tc>
          <w:tcPr>
            <w:tcW w:w="3544" w:type="dxa"/>
            <w:vAlign w:val="center"/>
          </w:tcPr>
          <w:p w14:paraId="7329B9E2">
            <w:pPr>
              <w:pStyle w:val="46"/>
              <w:jc w:val="left"/>
            </w:pPr>
            <w:r>
              <w:rPr>
                <w:rFonts w:hint="eastAsia"/>
              </w:rPr>
              <w:t>创建管理面。</w:t>
            </w:r>
          </w:p>
        </w:tc>
        <w:tc>
          <w:tcPr>
            <w:tcW w:w="1706" w:type="dxa"/>
            <w:vAlign w:val="center"/>
          </w:tcPr>
          <w:p w14:paraId="22CD17CD">
            <w:pPr>
              <w:pStyle w:val="46"/>
            </w:pPr>
            <w:r>
              <w:rPr>
                <w:rFonts w:hint="eastAsia"/>
              </w:rPr>
              <w:t>吴奉微</w:t>
            </w:r>
          </w:p>
        </w:tc>
      </w:tr>
      <w:tr w14:paraId="0252A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55CEFC6D">
            <w:pPr>
              <w:pStyle w:val="46"/>
            </w:pPr>
            <w:r>
              <w:rPr>
                <w:rFonts w:hint="eastAsia"/>
              </w:rPr>
              <w:t>V0.2</w:t>
            </w:r>
          </w:p>
        </w:tc>
        <w:tc>
          <w:tcPr>
            <w:tcW w:w="1417" w:type="dxa"/>
            <w:vAlign w:val="center"/>
          </w:tcPr>
          <w:p w14:paraId="00B6C22F">
            <w:pPr>
              <w:pStyle w:val="46"/>
            </w:pPr>
            <w:r>
              <w:rPr>
                <w:rFonts w:hint="eastAsia"/>
              </w:rPr>
              <w:t>20240904</w:t>
            </w:r>
          </w:p>
        </w:tc>
        <w:tc>
          <w:tcPr>
            <w:tcW w:w="3544" w:type="dxa"/>
            <w:vAlign w:val="center"/>
          </w:tcPr>
          <w:p w14:paraId="7E443DB7">
            <w:pPr>
              <w:pStyle w:val="46"/>
              <w:jc w:val="left"/>
            </w:pPr>
            <w:r>
              <w:rPr>
                <w:rFonts w:hint="eastAsia"/>
              </w:rPr>
              <w:t>增加转发面、USLP帧的封装解封。</w:t>
            </w:r>
          </w:p>
        </w:tc>
        <w:tc>
          <w:tcPr>
            <w:tcW w:w="1706" w:type="dxa"/>
            <w:vAlign w:val="center"/>
          </w:tcPr>
          <w:p w14:paraId="1B00A1FA">
            <w:pPr>
              <w:pStyle w:val="46"/>
            </w:pPr>
            <w:r>
              <w:rPr>
                <w:rFonts w:hint="eastAsia"/>
              </w:rPr>
              <w:t>张磊</w:t>
            </w:r>
          </w:p>
        </w:tc>
      </w:tr>
      <w:tr w14:paraId="2DCCC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3736A84D">
            <w:pPr>
              <w:pStyle w:val="46"/>
            </w:pPr>
            <w:r>
              <w:rPr>
                <w:rFonts w:hint="eastAsia"/>
              </w:rPr>
              <w:t>V0.3</w:t>
            </w:r>
          </w:p>
        </w:tc>
        <w:tc>
          <w:tcPr>
            <w:tcW w:w="1417" w:type="dxa"/>
            <w:vAlign w:val="center"/>
          </w:tcPr>
          <w:p w14:paraId="46E35E54">
            <w:pPr>
              <w:pStyle w:val="46"/>
            </w:pPr>
            <w:r>
              <w:rPr>
                <w:rFonts w:hint="eastAsia"/>
              </w:rPr>
              <w:t>20240911</w:t>
            </w:r>
          </w:p>
        </w:tc>
        <w:tc>
          <w:tcPr>
            <w:tcW w:w="3544" w:type="dxa"/>
            <w:vAlign w:val="center"/>
          </w:tcPr>
          <w:p w14:paraId="1BA68A85">
            <w:pPr>
              <w:pStyle w:val="46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与垣信明确8.5.3拆分、拼接的字段填写；传输帧的固定长度设为</w:t>
            </w:r>
            <w:r>
              <w:t>1115</w:t>
            </w:r>
            <w:r>
              <w:rPr>
                <w:rFonts w:hint="eastAsia"/>
              </w:rPr>
              <w:t>字节。</w:t>
            </w:r>
          </w:p>
          <w:p w14:paraId="5F1CC72A">
            <w:pPr>
              <w:pStyle w:val="46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修改8.7.1 DDR存储数据格式，将ASM同步头删除。</w:t>
            </w:r>
          </w:p>
        </w:tc>
        <w:tc>
          <w:tcPr>
            <w:tcW w:w="1706" w:type="dxa"/>
            <w:vAlign w:val="center"/>
          </w:tcPr>
          <w:p w14:paraId="6E116E99">
            <w:pPr>
              <w:pStyle w:val="46"/>
            </w:pPr>
            <w:r>
              <w:rPr>
                <w:rFonts w:hint="eastAsia"/>
              </w:rPr>
              <w:t>张磊</w:t>
            </w:r>
          </w:p>
        </w:tc>
      </w:tr>
      <w:tr w14:paraId="04091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236EBFD7">
            <w:pPr>
              <w:pStyle w:val="46"/>
            </w:pPr>
            <w:r>
              <w:rPr>
                <w:rFonts w:hint="eastAsia"/>
              </w:rPr>
              <w:t>V0.4</w:t>
            </w:r>
          </w:p>
        </w:tc>
        <w:tc>
          <w:tcPr>
            <w:tcW w:w="1417" w:type="dxa"/>
            <w:vAlign w:val="center"/>
          </w:tcPr>
          <w:p w14:paraId="6AC26FC6">
            <w:pPr>
              <w:pStyle w:val="46"/>
            </w:pPr>
            <w:r>
              <w:rPr>
                <w:rFonts w:hint="eastAsia"/>
              </w:rPr>
              <w:t>20240912</w:t>
            </w:r>
          </w:p>
        </w:tc>
        <w:tc>
          <w:tcPr>
            <w:tcW w:w="3544" w:type="dxa"/>
            <w:vAlign w:val="center"/>
          </w:tcPr>
          <w:p w14:paraId="4046E282">
            <w:pPr>
              <w:pStyle w:val="46"/>
              <w:numPr>
                <w:ilvl w:val="0"/>
                <w:numId w:val="7"/>
              </w:numPr>
              <w:jc w:val="left"/>
            </w:pPr>
            <w:r>
              <w:rPr>
                <w:rFonts w:hint="eastAsia"/>
              </w:rPr>
              <w:t>8.5.3报文封装处理情况分析增加内容。</w:t>
            </w:r>
          </w:p>
          <w:p w14:paraId="7A6C7E6C">
            <w:pPr>
              <w:pStyle w:val="46"/>
              <w:numPr>
                <w:ilvl w:val="0"/>
                <w:numId w:val="7"/>
              </w:numPr>
              <w:jc w:val="left"/>
            </w:pPr>
            <w:r>
              <w:rPr>
                <w:rFonts w:hint="eastAsia"/>
              </w:rPr>
              <w:t>增加8.5.4发送异常处理。</w:t>
            </w:r>
          </w:p>
        </w:tc>
        <w:tc>
          <w:tcPr>
            <w:tcW w:w="1706" w:type="dxa"/>
            <w:vAlign w:val="center"/>
          </w:tcPr>
          <w:p w14:paraId="2F3AF656">
            <w:pPr>
              <w:pStyle w:val="46"/>
            </w:pPr>
            <w:r>
              <w:rPr>
                <w:rFonts w:hint="eastAsia"/>
              </w:rPr>
              <w:t>张磊</w:t>
            </w:r>
          </w:p>
        </w:tc>
      </w:tr>
      <w:tr w14:paraId="6ED88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6C32C85E">
            <w:pPr>
              <w:pStyle w:val="46"/>
            </w:pPr>
            <w:r>
              <w:rPr>
                <w:rFonts w:hint="eastAsia"/>
              </w:rPr>
              <w:t>V0.</w:t>
            </w:r>
            <w:r>
              <w:t>5</w:t>
            </w:r>
          </w:p>
        </w:tc>
        <w:tc>
          <w:tcPr>
            <w:tcW w:w="1417" w:type="dxa"/>
            <w:vAlign w:val="center"/>
          </w:tcPr>
          <w:p w14:paraId="733DB31C">
            <w:pPr>
              <w:pStyle w:val="46"/>
            </w:pPr>
            <w:r>
              <w:rPr>
                <w:rFonts w:hint="eastAsia"/>
              </w:rPr>
              <w:t>20240912</w:t>
            </w:r>
          </w:p>
        </w:tc>
        <w:tc>
          <w:tcPr>
            <w:tcW w:w="3544" w:type="dxa"/>
            <w:vAlign w:val="center"/>
          </w:tcPr>
          <w:p w14:paraId="058123BA">
            <w:pPr>
              <w:pStyle w:val="46"/>
              <w:numPr>
                <w:ilvl w:val="0"/>
                <w:numId w:val="8"/>
              </w:numPr>
              <w:jc w:val="left"/>
            </w:pPr>
            <w:r>
              <w:rPr>
                <w:rFonts w:hint="eastAsia"/>
              </w:rPr>
              <w:t>U</w:t>
            </w:r>
            <w:r>
              <w:t>SLP</w:t>
            </w:r>
            <w:r>
              <w:rPr>
                <w:rFonts w:hint="eastAsia"/>
              </w:rPr>
              <w:t>传输帧的固定长度设为</w:t>
            </w:r>
            <w:r>
              <w:t>892</w:t>
            </w:r>
            <w:r>
              <w:rPr>
                <w:rFonts w:hint="eastAsia"/>
              </w:rPr>
              <w:t>字节，</w:t>
            </w:r>
            <w:r>
              <w:t>8.5.5</w:t>
            </w:r>
            <w:r>
              <w:rPr>
                <w:rFonts w:hint="eastAsia"/>
              </w:rPr>
              <w:t>和8</w:t>
            </w:r>
            <w:r>
              <w:t>.5.7</w:t>
            </w:r>
            <w:r>
              <w:rPr>
                <w:rFonts w:hint="eastAsia"/>
              </w:rPr>
              <w:t>节相应修改。</w:t>
            </w:r>
          </w:p>
          <w:p w14:paraId="210D27D8">
            <w:pPr>
              <w:pStyle w:val="46"/>
              <w:numPr>
                <w:ilvl w:val="0"/>
                <w:numId w:val="8"/>
              </w:numPr>
              <w:jc w:val="left"/>
            </w:pPr>
            <w:r>
              <w:rPr>
                <w:rFonts w:hint="eastAsia"/>
              </w:rPr>
              <w:t>增加8.5.</w:t>
            </w:r>
            <w:r>
              <w:t>1.1</w:t>
            </w:r>
            <w:r>
              <w:rPr>
                <w:rFonts w:hint="eastAsia"/>
              </w:rPr>
              <w:t>卫星编址规划、8</w:t>
            </w:r>
            <w:r>
              <w:t>.5.1.2</w:t>
            </w:r>
            <w:r>
              <w:rPr>
                <w:rFonts w:hint="eastAsia"/>
              </w:rPr>
              <w:t>出接口编号。</w:t>
            </w:r>
          </w:p>
        </w:tc>
        <w:tc>
          <w:tcPr>
            <w:tcW w:w="1706" w:type="dxa"/>
            <w:vAlign w:val="center"/>
          </w:tcPr>
          <w:p w14:paraId="10BE47E3">
            <w:pPr>
              <w:pStyle w:val="46"/>
              <w:rPr>
                <w:rFonts w:hint="eastAsia"/>
              </w:rPr>
            </w:pPr>
            <w:r>
              <w:rPr>
                <w:rFonts w:hint="eastAsia"/>
              </w:rPr>
              <w:t>张磊</w:t>
            </w:r>
          </w:p>
        </w:tc>
      </w:tr>
      <w:tr w14:paraId="16C78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04E774EC">
            <w:pPr>
              <w:pStyle w:val="46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V0.6</w:t>
            </w:r>
          </w:p>
        </w:tc>
        <w:tc>
          <w:tcPr>
            <w:tcW w:w="1417" w:type="dxa"/>
            <w:vAlign w:val="center"/>
          </w:tcPr>
          <w:p w14:paraId="3E7D3A02">
            <w:pPr>
              <w:pStyle w:val="46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202409</w:t>
            </w: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544" w:type="dxa"/>
            <w:vAlign w:val="center"/>
          </w:tcPr>
          <w:p w14:paraId="65272203">
            <w:pPr>
              <w:pStyle w:val="46"/>
              <w:numPr>
                <w:ilvl w:val="0"/>
                <w:numId w:val="9"/>
              </w:numPr>
              <w:ind w:leftChars="0"/>
              <w:jc w:val="both"/>
            </w:pPr>
            <w:bookmarkStart w:id="52" w:name="_GoBack"/>
            <w:bookmarkEnd w:id="52"/>
            <w:r>
              <w:rPr>
                <w:rFonts w:hint="eastAsia"/>
                <w:lang w:val="en-US" w:eastAsia="zh-CN"/>
              </w:rPr>
              <w:t>IPE封装头更改为1字节；使用USLP主导头的SCID作为源物理地址，来标识报文的选路路由。</w:t>
            </w:r>
          </w:p>
        </w:tc>
        <w:tc>
          <w:tcPr>
            <w:tcW w:w="1706" w:type="dxa"/>
            <w:vAlign w:val="center"/>
          </w:tcPr>
          <w:p w14:paraId="2950AB47">
            <w:pPr>
              <w:pStyle w:val="46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张磊</w:t>
            </w:r>
          </w:p>
        </w:tc>
      </w:tr>
      <w:tr w14:paraId="5D3B1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7EEB5165">
            <w:pPr>
              <w:pStyle w:val="46"/>
            </w:pPr>
          </w:p>
        </w:tc>
        <w:tc>
          <w:tcPr>
            <w:tcW w:w="1417" w:type="dxa"/>
            <w:vAlign w:val="center"/>
          </w:tcPr>
          <w:p w14:paraId="249E9A03">
            <w:pPr>
              <w:pStyle w:val="46"/>
            </w:pPr>
          </w:p>
        </w:tc>
        <w:tc>
          <w:tcPr>
            <w:tcW w:w="3544" w:type="dxa"/>
            <w:vAlign w:val="center"/>
          </w:tcPr>
          <w:p w14:paraId="7387248D">
            <w:pPr>
              <w:pStyle w:val="46"/>
            </w:pPr>
          </w:p>
        </w:tc>
        <w:tc>
          <w:tcPr>
            <w:tcW w:w="1706" w:type="dxa"/>
            <w:vAlign w:val="center"/>
          </w:tcPr>
          <w:p w14:paraId="22922FA8">
            <w:pPr>
              <w:pStyle w:val="46"/>
            </w:pPr>
          </w:p>
        </w:tc>
      </w:tr>
      <w:tr w14:paraId="2A5F2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67E20359">
            <w:pPr>
              <w:pStyle w:val="46"/>
            </w:pPr>
          </w:p>
        </w:tc>
        <w:tc>
          <w:tcPr>
            <w:tcW w:w="1417" w:type="dxa"/>
            <w:vAlign w:val="center"/>
          </w:tcPr>
          <w:p w14:paraId="64A74CB7">
            <w:pPr>
              <w:pStyle w:val="46"/>
            </w:pPr>
          </w:p>
        </w:tc>
        <w:tc>
          <w:tcPr>
            <w:tcW w:w="3544" w:type="dxa"/>
            <w:vAlign w:val="center"/>
          </w:tcPr>
          <w:p w14:paraId="0136EB17">
            <w:pPr>
              <w:pStyle w:val="46"/>
            </w:pPr>
          </w:p>
        </w:tc>
        <w:tc>
          <w:tcPr>
            <w:tcW w:w="1706" w:type="dxa"/>
            <w:vAlign w:val="center"/>
          </w:tcPr>
          <w:p w14:paraId="32E58655">
            <w:pPr>
              <w:pStyle w:val="46"/>
            </w:pPr>
          </w:p>
        </w:tc>
      </w:tr>
      <w:tr w14:paraId="05F9E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55" w:type="dxa"/>
            <w:vAlign w:val="center"/>
          </w:tcPr>
          <w:p w14:paraId="553BBBF8">
            <w:pPr>
              <w:pStyle w:val="46"/>
            </w:pPr>
          </w:p>
        </w:tc>
        <w:tc>
          <w:tcPr>
            <w:tcW w:w="1417" w:type="dxa"/>
            <w:vAlign w:val="center"/>
          </w:tcPr>
          <w:p w14:paraId="6FA70536">
            <w:pPr>
              <w:pStyle w:val="46"/>
            </w:pPr>
          </w:p>
        </w:tc>
        <w:tc>
          <w:tcPr>
            <w:tcW w:w="3544" w:type="dxa"/>
            <w:vAlign w:val="center"/>
          </w:tcPr>
          <w:p w14:paraId="757FECF0">
            <w:pPr>
              <w:pStyle w:val="46"/>
            </w:pPr>
          </w:p>
        </w:tc>
        <w:tc>
          <w:tcPr>
            <w:tcW w:w="1706" w:type="dxa"/>
            <w:vAlign w:val="center"/>
          </w:tcPr>
          <w:p w14:paraId="47B1AAFF">
            <w:pPr>
              <w:pStyle w:val="46"/>
            </w:pPr>
          </w:p>
        </w:tc>
      </w:tr>
    </w:tbl>
    <w:p w14:paraId="15AF9B7B">
      <w:pPr>
        <w:pStyle w:val="4"/>
        <w:rPr>
          <w:lang w:val="zh-CN"/>
        </w:rPr>
      </w:pPr>
    </w:p>
    <w:p w14:paraId="65DDA224">
      <w:pPr>
        <w:jc w:val="left"/>
        <w:rPr>
          <w:sz w:val="24"/>
          <w:lang w:val="zh-CN"/>
        </w:rPr>
      </w:pPr>
      <w:r>
        <w:rPr>
          <w:lang w:val="zh-CN"/>
        </w:rPr>
        <w:br w:type="page"/>
      </w:r>
    </w:p>
    <w:p w14:paraId="1FF64090">
      <w:pPr>
        <w:pStyle w:val="4"/>
        <w:rPr>
          <w:lang w:val="zh-CN"/>
        </w:rPr>
        <w:sectPr>
          <w:footerReference r:id="rId8" w:type="default"/>
          <w:pgSz w:w="11906" w:h="16838"/>
          <w:pgMar w:top="1418" w:right="1701" w:bottom="1418" w:left="1701" w:header="851" w:footer="992" w:gutter="0"/>
          <w:pgNumType w:start="1"/>
          <w:cols w:space="425" w:num="1"/>
          <w:docGrid w:type="lines" w:linePitch="312" w:charSpace="0"/>
        </w:sectPr>
      </w:pPr>
    </w:p>
    <w:p w14:paraId="5188A0AE">
      <w:pPr>
        <w:pStyle w:val="28"/>
        <w:widowControl w:val="0"/>
        <w:adjustRightInd w:val="0"/>
        <w:snapToGrid w:val="0"/>
        <w:spacing w:before="312" w:beforeLines="100" w:after="936" w:afterLines="300" w:line="240" w:lineRule="auto"/>
        <w:outlineLvl w:val="9"/>
        <w:rPr>
          <w:rFonts w:eastAsia="黑体"/>
          <w:b w:val="0"/>
          <w:bCs w:val="0"/>
        </w:rPr>
      </w:pPr>
      <w:r>
        <w:rPr>
          <w:rFonts w:hint="eastAsia" w:eastAsia="黑体"/>
          <w:b w:val="0"/>
          <w:bCs w:val="0"/>
        </w:rPr>
        <w:t>目  次</w:t>
      </w:r>
    </w:p>
    <w:p w14:paraId="01C7B8F2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"_Toc177115132" </w:instrText>
      </w:r>
      <w:r>
        <w:fldChar w:fldCharType="separate"/>
      </w:r>
      <w:r>
        <w:rPr>
          <w:rStyle w:val="36"/>
        </w:rPr>
        <w:t>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引言</w:t>
      </w:r>
      <w:r>
        <w:tab/>
      </w:r>
      <w:r>
        <w:fldChar w:fldCharType="begin"/>
      </w:r>
      <w:r>
        <w:instrText xml:space="preserve"> PAGEREF _Toc177115132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660EC0A0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"_Toc177115133" </w:instrText>
      </w:r>
      <w:r>
        <w:fldChar w:fldCharType="separate"/>
      </w:r>
      <w:r>
        <w:rPr>
          <w:rStyle w:val="36"/>
        </w:rPr>
        <w:t>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参考文献</w:t>
      </w:r>
      <w:r>
        <w:tab/>
      </w:r>
      <w:r>
        <w:fldChar w:fldCharType="begin"/>
      </w:r>
      <w:r>
        <w:instrText xml:space="preserve"> PAGEREF _Toc177115133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F00BA7A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"_Toc177115134" </w:instrText>
      </w:r>
      <w:r>
        <w:fldChar w:fldCharType="separate"/>
      </w:r>
      <w:r>
        <w:rPr>
          <w:rStyle w:val="36"/>
        </w:rPr>
        <w:t>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缩略语</w:t>
      </w:r>
      <w:r>
        <w:tab/>
      </w:r>
      <w:r>
        <w:fldChar w:fldCharType="begin"/>
      </w:r>
      <w:r>
        <w:instrText xml:space="preserve"> PAGEREF _Toc177115134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9FED0EF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"_Toc177115135" </w:instrText>
      </w:r>
      <w:r>
        <w:fldChar w:fldCharType="separate"/>
      </w:r>
      <w:r>
        <w:rPr>
          <w:rStyle w:val="36"/>
        </w:rPr>
        <w:t>4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概述</w:t>
      </w:r>
      <w:r>
        <w:tab/>
      </w:r>
      <w:r>
        <w:fldChar w:fldCharType="begin"/>
      </w:r>
      <w:r>
        <w:instrText xml:space="preserve"> PAGEREF _Toc177115135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FA228E7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"_Toc177115136" </w:instrText>
      </w:r>
      <w:r>
        <w:fldChar w:fldCharType="separate"/>
      </w:r>
      <w:r>
        <w:rPr>
          <w:rStyle w:val="36"/>
        </w:rPr>
        <w:t>5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背景介绍</w:t>
      </w:r>
      <w:r>
        <w:tab/>
      </w:r>
      <w:r>
        <w:fldChar w:fldCharType="begin"/>
      </w:r>
      <w:r>
        <w:instrText xml:space="preserve"> PAGEREF _Toc177115136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B081C15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"_Toc177115137" </w:instrText>
      </w:r>
      <w:r>
        <w:fldChar w:fldCharType="separate"/>
      </w:r>
      <w:r>
        <w:rPr>
          <w:rStyle w:val="36"/>
        </w:rPr>
        <w:t>6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适用范围</w:t>
      </w:r>
      <w:r>
        <w:tab/>
      </w:r>
      <w:r>
        <w:fldChar w:fldCharType="begin"/>
      </w:r>
      <w:r>
        <w:instrText xml:space="preserve"> PAGEREF _Toc177115137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12A1656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"_Toc177115138" </w:instrText>
      </w:r>
      <w:r>
        <w:fldChar w:fldCharType="separate"/>
      </w:r>
      <w:r>
        <w:rPr>
          <w:rStyle w:val="36"/>
        </w:rPr>
        <w:t>7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设计依据</w:t>
      </w:r>
      <w:r>
        <w:tab/>
      </w:r>
      <w:r>
        <w:fldChar w:fldCharType="begin"/>
      </w:r>
      <w:r>
        <w:instrText xml:space="preserve"> PAGEREF _Toc177115138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6A7D0BC">
      <w:pPr>
        <w:pStyle w:val="26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"_Toc177115139" </w:instrText>
      </w:r>
      <w:r>
        <w:fldChar w:fldCharType="separate"/>
      </w:r>
      <w:r>
        <w:rPr>
          <w:rStyle w:val="36"/>
        </w:rPr>
        <w:t>8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方案设计</w:t>
      </w:r>
      <w:r>
        <w:tab/>
      </w:r>
      <w:r>
        <w:fldChar w:fldCharType="begin"/>
      </w:r>
      <w:r>
        <w:instrText xml:space="preserve"> PAGEREF _Toc177115139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EFFA0EC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"_Toc177115140" </w:instrText>
      </w:r>
      <w:r>
        <w:fldChar w:fldCharType="separate"/>
      </w:r>
      <w:r>
        <w:rPr>
          <w:rStyle w:val="36"/>
        </w:rPr>
        <w:t>8.1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软件架构</w:t>
      </w:r>
      <w:r>
        <w:tab/>
      </w:r>
      <w:r>
        <w:fldChar w:fldCharType="begin"/>
      </w:r>
      <w:r>
        <w:instrText xml:space="preserve"> PAGEREF _Toc177115140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FCD7BC4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"_Toc177115141" </w:instrText>
      </w:r>
      <w:r>
        <w:fldChar w:fldCharType="separate"/>
      </w:r>
      <w:r>
        <w:rPr>
          <w:rStyle w:val="36"/>
        </w:rPr>
        <w:t>8.2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L2S信令流程</w:t>
      </w:r>
      <w:r>
        <w:tab/>
      </w:r>
      <w:r>
        <w:fldChar w:fldCharType="begin"/>
      </w:r>
      <w:r>
        <w:instrText xml:space="preserve"> PAGEREF _Toc177115141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911D5C2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"_Toc177115142" </w:instrText>
      </w:r>
      <w:r>
        <w:fldChar w:fldCharType="separate"/>
      </w:r>
      <w:r>
        <w:rPr>
          <w:rStyle w:val="36"/>
        </w:rPr>
        <w:t>8.2.1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Hello流程</w:t>
      </w:r>
      <w:r>
        <w:tab/>
      </w:r>
      <w:r>
        <w:fldChar w:fldCharType="begin"/>
      </w:r>
      <w:r>
        <w:instrText xml:space="preserve"> PAGEREF _Toc177115142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C425F39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"_Toc177115143" </w:instrText>
      </w:r>
      <w:r>
        <w:fldChar w:fldCharType="separate"/>
      </w:r>
      <w:r>
        <w:rPr>
          <w:rStyle w:val="36"/>
        </w:rPr>
        <w:t>8.2.2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TOPO流程</w:t>
      </w:r>
      <w:r>
        <w:tab/>
      </w:r>
      <w:r>
        <w:fldChar w:fldCharType="begin"/>
      </w:r>
      <w:r>
        <w:instrText xml:space="preserve"> PAGEREF _Toc177115143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94BEF56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"_Toc177115144" </w:instrText>
      </w:r>
      <w:r>
        <w:fldChar w:fldCharType="separate"/>
      </w:r>
      <w:r>
        <w:rPr>
          <w:rStyle w:val="36"/>
        </w:rPr>
        <w:t>8.2.3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EsN0测量上报流程</w:t>
      </w:r>
      <w:r>
        <w:tab/>
      </w:r>
      <w:r>
        <w:fldChar w:fldCharType="begin"/>
      </w:r>
      <w:r>
        <w:instrText xml:space="preserve"> PAGEREF _Toc177115144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129AA15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"_Toc177115145" </w:instrText>
      </w:r>
      <w:r>
        <w:fldChar w:fldCharType="separate"/>
      </w:r>
      <w:r>
        <w:rPr>
          <w:rStyle w:val="36"/>
        </w:rPr>
        <w:t>8.2.4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节点信息及维护</w:t>
      </w:r>
      <w:r>
        <w:tab/>
      </w:r>
      <w:r>
        <w:fldChar w:fldCharType="begin"/>
      </w:r>
      <w:r>
        <w:instrText xml:space="preserve"> PAGEREF _Toc177115145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466EBA6D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"_Toc177115146" </w:instrText>
      </w:r>
      <w:r>
        <w:fldChar w:fldCharType="separate"/>
      </w:r>
      <w:r>
        <w:rPr>
          <w:rStyle w:val="36"/>
        </w:rPr>
        <w:t>8.3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路由管理</w:t>
      </w:r>
      <w:r>
        <w:tab/>
      </w:r>
      <w:r>
        <w:fldChar w:fldCharType="begin"/>
      </w:r>
      <w:r>
        <w:instrText xml:space="preserve"> PAGEREF _Toc177115146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20F2B66D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"_Toc177115147" </w:instrText>
      </w:r>
      <w:r>
        <w:fldChar w:fldCharType="separate"/>
      </w:r>
      <w:r>
        <w:rPr>
          <w:rStyle w:val="36"/>
        </w:rPr>
        <w:t>8.3.1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网络拓扑管理</w:t>
      </w:r>
      <w:r>
        <w:tab/>
      </w:r>
      <w:r>
        <w:fldChar w:fldCharType="begin"/>
      </w:r>
      <w:r>
        <w:instrText xml:space="preserve"> PAGEREF _Toc177115147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A4D2A5F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"_Toc177115148" </w:instrText>
      </w:r>
      <w:r>
        <w:fldChar w:fldCharType="separate"/>
      </w:r>
      <w:r>
        <w:rPr>
          <w:rStyle w:val="36"/>
        </w:rPr>
        <w:t>8.3.2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半静态路由管理</w:t>
      </w:r>
      <w:r>
        <w:tab/>
      </w:r>
      <w:r>
        <w:fldChar w:fldCharType="begin"/>
      </w:r>
      <w:r>
        <w:instrText xml:space="preserve"> PAGEREF _Toc177115148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D5F4FE3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"_Toc177115149" </w:instrText>
      </w:r>
      <w:r>
        <w:fldChar w:fldCharType="separate"/>
      </w:r>
      <w:r>
        <w:rPr>
          <w:rStyle w:val="36"/>
        </w:rPr>
        <w:t>8.3.3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动态路由管理</w:t>
      </w:r>
      <w:r>
        <w:tab/>
      </w:r>
      <w:r>
        <w:fldChar w:fldCharType="begin"/>
      </w:r>
      <w:r>
        <w:instrText xml:space="preserve"> PAGEREF _Toc177115149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C8874FB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"_Toc177115150" </w:instrText>
      </w:r>
      <w:r>
        <w:fldChar w:fldCharType="separate"/>
      </w:r>
      <w:r>
        <w:rPr>
          <w:rStyle w:val="36"/>
        </w:rPr>
        <w:t>8.4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数据转发</w:t>
      </w:r>
      <w:r>
        <w:tab/>
      </w:r>
      <w:r>
        <w:fldChar w:fldCharType="begin"/>
      </w:r>
      <w:r>
        <w:instrText xml:space="preserve"> PAGEREF _Toc177115150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9FC9FE5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"_Toc177115151" </w:instrText>
      </w:r>
      <w:r>
        <w:fldChar w:fldCharType="separate"/>
      </w:r>
      <w:r>
        <w:rPr>
          <w:rStyle w:val="36"/>
        </w:rPr>
        <w:t>8.4.1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信令报文接收</w:t>
      </w:r>
      <w:r>
        <w:tab/>
      </w:r>
      <w:r>
        <w:fldChar w:fldCharType="begin"/>
      </w:r>
      <w:r>
        <w:instrText xml:space="preserve"> PAGEREF _Toc177115151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B8EDE71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"_Toc177115152" </w:instrText>
      </w:r>
      <w:r>
        <w:fldChar w:fldCharType="separate"/>
      </w:r>
      <w:r>
        <w:rPr>
          <w:rStyle w:val="36"/>
        </w:rPr>
        <w:t>8.4.2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信令报文发送</w:t>
      </w:r>
      <w:r>
        <w:tab/>
      </w:r>
      <w:r>
        <w:fldChar w:fldCharType="begin"/>
      </w:r>
      <w:r>
        <w:instrText xml:space="preserve"> PAGEREF _Toc177115152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32F8957B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"_Toc177115153" </w:instrText>
      </w:r>
      <w:r>
        <w:fldChar w:fldCharType="separate"/>
      </w:r>
      <w:r>
        <w:rPr>
          <w:rStyle w:val="36"/>
        </w:rPr>
        <w:t>8.4.3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数据报文发送</w:t>
      </w:r>
      <w:r>
        <w:tab/>
      </w:r>
      <w:r>
        <w:fldChar w:fldCharType="begin"/>
      </w:r>
      <w:r>
        <w:instrText xml:space="preserve"> PAGEREF _Toc177115153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058B500D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"_Toc177115154" </w:instrText>
      </w:r>
      <w:r>
        <w:fldChar w:fldCharType="separate"/>
      </w:r>
      <w:r>
        <w:rPr>
          <w:rStyle w:val="36"/>
        </w:rPr>
        <w:t>8.4.4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模块间消息的处理</w:t>
      </w:r>
      <w:r>
        <w:tab/>
      </w:r>
      <w:r>
        <w:fldChar w:fldCharType="begin"/>
      </w:r>
      <w:r>
        <w:instrText xml:space="preserve"> PAGEREF _Toc177115154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C8AB752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"_Toc177115155" </w:instrText>
      </w:r>
      <w:r>
        <w:fldChar w:fldCharType="separate"/>
      </w:r>
      <w:r>
        <w:rPr>
          <w:rStyle w:val="36"/>
        </w:rPr>
        <w:t>8.5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发送数据的处理流程</w:t>
      </w:r>
      <w:r>
        <w:tab/>
      </w:r>
      <w:r>
        <w:fldChar w:fldCharType="begin"/>
      </w:r>
      <w:r>
        <w:instrText xml:space="preserve"> PAGEREF _Toc177115155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00A7B243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"_Toc177115156" </w:instrText>
      </w:r>
      <w:r>
        <w:fldChar w:fldCharType="separate"/>
      </w:r>
      <w:r>
        <w:rPr>
          <w:rStyle w:val="36"/>
        </w:rPr>
        <w:t>8.5.1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IPE封装</w:t>
      </w:r>
      <w:r>
        <w:tab/>
      </w:r>
      <w:r>
        <w:fldChar w:fldCharType="begin"/>
      </w:r>
      <w:r>
        <w:instrText xml:space="preserve"> PAGEREF _Toc177115156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C6E7647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"_Toc177115157" </w:instrText>
      </w:r>
      <w:r>
        <w:fldChar w:fldCharType="separate"/>
      </w:r>
      <w:r>
        <w:rPr>
          <w:rStyle w:val="36"/>
        </w:rPr>
        <w:t>8.5.2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EPP封装</w:t>
      </w:r>
      <w:r>
        <w:tab/>
      </w:r>
      <w:r>
        <w:fldChar w:fldCharType="begin"/>
      </w:r>
      <w:r>
        <w:instrText xml:space="preserve"> PAGEREF _Toc177115157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4BC55A3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"_Toc177115158" </w:instrText>
      </w:r>
      <w:r>
        <w:fldChar w:fldCharType="separate"/>
      </w:r>
      <w:r>
        <w:rPr>
          <w:rStyle w:val="36"/>
        </w:rPr>
        <w:t>8.5.3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USLP封装</w:t>
      </w:r>
      <w:r>
        <w:tab/>
      </w:r>
      <w:r>
        <w:fldChar w:fldCharType="begin"/>
      </w:r>
      <w:r>
        <w:instrText xml:space="preserve"> PAGEREF _Toc177115158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82E3D55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"_Toc177115159" </w:instrText>
      </w:r>
      <w:r>
        <w:fldChar w:fldCharType="separate"/>
      </w:r>
      <w:r>
        <w:rPr>
          <w:rStyle w:val="36"/>
        </w:rPr>
        <w:t>8.5.4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发送异常处理</w:t>
      </w:r>
      <w:r>
        <w:tab/>
      </w:r>
      <w:r>
        <w:fldChar w:fldCharType="begin"/>
      </w:r>
      <w:r>
        <w:instrText xml:space="preserve"> PAGEREF _Toc177115159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20F3CE1B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"_Toc177115160" </w:instrText>
      </w:r>
      <w:r>
        <w:fldChar w:fldCharType="separate"/>
      </w:r>
      <w:r>
        <w:rPr>
          <w:rStyle w:val="36"/>
        </w:rPr>
        <w:t>8.6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接收数据的处理流程</w:t>
      </w:r>
      <w:r>
        <w:tab/>
      </w:r>
      <w:r>
        <w:fldChar w:fldCharType="begin"/>
      </w:r>
      <w:r>
        <w:instrText xml:space="preserve"> PAGEREF _Toc177115160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436AEC3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"_Toc177115161" </w:instrText>
      </w:r>
      <w:r>
        <w:fldChar w:fldCharType="separate"/>
      </w:r>
      <w:r>
        <w:rPr>
          <w:rStyle w:val="36"/>
        </w:rPr>
        <w:t>8.7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数据缓存和读写</w:t>
      </w:r>
      <w:r>
        <w:tab/>
      </w:r>
      <w:r>
        <w:fldChar w:fldCharType="begin"/>
      </w:r>
      <w:r>
        <w:instrText xml:space="preserve"> PAGEREF _Toc177115161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0DB373A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"_Toc177115162" </w:instrText>
      </w:r>
      <w:r>
        <w:fldChar w:fldCharType="separate"/>
      </w:r>
      <w:r>
        <w:rPr>
          <w:rStyle w:val="36"/>
        </w:rPr>
        <w:t>8.7.1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DDR数据存储格式</w:t>
      </w:r>
      <w:r>
        <w:tab/>
      </w:r>
      <w:r>
        <w:fldChar w:fldCharType="begin"/>
      </w:r>
      <w:r>
        <w:instrText xml:space="preserve"> PAGEREF _Toc177115162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74E24B03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"_Toc177115163" </w:instrText>
      </w:r>
      <w:r>
        <w:fldChar w:fldCharType="separate"/>
      </w:r>
      <w:r>
        <w:rPr>
          <w:rStyle w:val="36"/>
        </w:rPr>
        <w:t>8.7.2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ACM格式</w:t>
      </w:r>
      <w:r>
        <w:tab/>
      </w:r>
      <w:r>
        <w:fldChar w:fldCharType="begin"/>
      </w:r>
      <w:r>
        <w:instrText xml:space="preserve"> PAGEREF _Toc177115163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2864B2F8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"_Toc177115164" </w:instrText>
      </w:r>
      <w:r>
        <w:fldChar w:fldCharType="separate"/>
      </w:r>
      <w:r>
        <w:rPr>
          <w:rStyle w:val="36"/>
        </w:rPr>
        <w:t>8.8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消息定义</w:t>
      </w:r>
      <w:r>
        <w:tab/>
      </w:r>
      <w:r>
        <w:fldChar w:fldCharType="begin"/>
      </w:r>
      <w:r>
        <w:instrText xml:space="preserve"> PAGEREF _Toc177115164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3A32A34B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"_Toc177115165" </w:instrText>
      </w:r>
      <w:r>
        <w:fldChar w:fldCharType="separate"/>
      </w:r>
      <w:r>
        <w:rPr>
          <w:rStyle w:val="36"/>
        </w:rPr>
        <w:t>8.8.1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消息报头</w:t>
      </w:r>
      <w:r>
        <w:tab/>
      </w:r>
      <w:r>
        <w:fldChar w:fldCharType="begin"/>
      </w:r>
      <w:r>
        <w:instrText xml:space="preserve"> PAGEREF _Toc177115165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43AF4DDC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"_Toc177115166" </w:instrText>
      </w:r>
      <w:r>
        <w:fldChar w:fldCharType="separate"/>
      </w:r>
      <w:r>
        <w:rPr>
          <w:rStyle w:val="36"/>
        </w:rPr>
        <w:t>8.8.2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Hello消息结构</w:t>
      </w:r>
      <w:r>
        <w:tab/>
      </w:r>
      <w:r>
        <w:fldChar w:fldCharType="begin"/>
      </w:r>
      <w:r>
        <w:instrText xml:space="preserve"> PAGEREF _Toc177115166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374AD40E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"_Toc177115167" </w:instrText>
      </w:r>
      <w:r>
        <w:fldChar w:fldCharType="separate"/>
      </w:r>
      <w:r>
        <w:rPr>
          <w:rStyle w:val="36"/>
        </w:rPr>
        <w:t>8.8.3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TOPO消息结构</w:t>
      </w:r>
      <w:r>
        <w:tab/>
      </w:r>
      <w:r>
        <w:fldChar w:fldCharType="begin"/>
      </w:r>
      <w:r>
        <w:instrText xml:space="preserve"> PAGEREF _Toc177115167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4CB5DC7A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"_Toc177115168" </w:instrText>
      </w:r>
      <w:r>
        <w:fldChar w:fldCharType="separate"/>
      </w:r>
      <w:r>
        <w:rPr>
          <w:rStyle w:val="36"/>
        </w:rPr>
        <w:t>8.8.4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CNI消息结构</w:t>
      </w:r>
      <w:r>
        <w:tab/>
      </w:r>
      <w:r>
        <w:fldChar w:fldCharType="begin"/>
      </w:r>
      <w:r>
        <w:instrText xml:space="preserve"> PAGEREF _Toc177115168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77D8016B">
      <w:pPr>
        <w:pStyle w:val="30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"_Toc177115169" </w:instrText>
      </w:r>
      <w:r>
        <w:fldChar w:fldCharType="separate"/>
      </w:r>
      <w:r>
        <w:rPr>
          <w:rStyle w:val="36"/>
        </w:rPr>
        <w:t>8.9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接口设计及定义</w:t>
      </w:r>
      <w:r>
        <w:tab/>
      </w:r>
      <w:r>
        <w:fldChar w:fldCharType="begin"/>
      </w:r>
      <w:r>
        <w:instrText xml:space="preserve"> PAGEREF _Toc177115169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34BB628E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"_Toc177115170" </w:instrText>
      </w:r>
      <w:r>
        <w:fldChar w:fldCharType="separate"/>
      </w:r>
      <w:r>
        <w:rPr>
          <w:rStyle w:val="36"/>
        </w:rPr>
        <w:t>8.9.1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外部接口</w:t>
      </w:r>
      <w:r>
        <w:tab/>
      </w:r>
      <w:r>
        <w:fldChar w:fldCharType="begin"/>
      </w:r>
      <w:r>
        <w:instrText xml:space="preserve"> PAGEREF _Toc177115170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13C09EA8">
      <w:pPr>
        <w:pStyle w:val="22"/>
        <w:rPr>
          <w:rFonts w:asciiTheme="minorHAnsi" w:hAnsiTheme="minorHAnsi" w:eastAsiaTheme="minorEastAsia"/>
          <w:sz w:val="21"/>
          <w:szCs w:val="22"/>
          <w14:ligatures w14:val="none"/>
        </w:rPr>
      </w:pPr>
      <w:r>
        <w:fldChar w:fldCharType="begin"/>
      </w:r>
      <w:r>
        <w:instrText xml:space="preserve"> HYPERLINK \l "_Toc177115171" </w:instrText>
      </w:r>
      <w:r>
        <w:fldChar w:fldCharType="separate"/>
      </w:r>
      <w:r>
        <w:rPr>
          <w:rStyle w:val="36"/>
        </w:rPr>
        <w:t>8.9.2</w:t>
      </w:r>
      <w:r>
        <w:rPr>
          <w:rFonts w:asciiTheme="minorHAnsi" w:hAnsiTheme="minorHAnsi" w:eastAsiaTheme="minorEastAsia"/>
          <w:sz w:val="21"/>
          <w:szCs w:val="22"/>
          <w14:ligatures w14:val="none"/>
        </w:rPr>
        <w:tab/>
      </w:r>
      <w:r>
        <w:rPr>
          <w:rStyle w:val="36"/>
        </w:rPr>
        <w:t>内部接口</w:t>
      </w:r>
      <w:r>
        <w:tab/>
      </w:r>
      <w:r>
        <w:fldChar w:fldCharType="begin"/>
      </w:r>
      <w:r>
        <w:instrText xml:space="preserve"> PAGEREF _Toc177115171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20D437E">
      <w:pPr>
        <w:pStyle w:val="4"/>
        <w:sectPr>
          <w:footerReference r:id="rId9" w:type="default"/>
          <w:pgSz w:w="11906" w:h="16838"/>
          <w:pgMar w:top="1418" w:right="1701" w:bottom="1418" w:left="1701" w:header="851" w:footer="992" w:gutter="0"/>
          <w:pgNumType w:fmt="upperRoman" w:start="1"/>
          <w:cols w:space="425" w:num="1"/>
          <w:docGrid w:type="lines" w:linePitch="312" w:charSpace="0"/>
        </w:sectPr>
      </w:pPr>
      <w:r>
        <w:fldChar w:fldCharType="end"/>
      </w:r>
    </w:p>
    <w:p w14:paraId="17952A5F">
      <w:bookmarkStart w:id="0" w:name="_Toc173251356"/>
    </w:p>
    <w:p w14:paraId="50874B76">
      <w:r>
        <w:br w:type="page"/>
      </w:r>
    </w:p>
    <w:p w14:paraId="7166DC9C">
      <w:pPr>
        <w:pStyle w:val="2"/>
        <w:numPr>
          <w:ilvl w:val="0"/>
          <w:numId w:val="10"/>
        </w:numPr>
      </w:pPr>
      <w:bookmarkStart w:id="1" w:name="_Toc177115132"/>
      <w:r>
        <w:rPr>
          <w:rFonts w:hint="eastAsia"/>
        </w:rPr>
        <w:t>引言</w:t>
      </w:r>
      <w:bookmarkEnd w:id="1"/>
    </w:p>
    <w:p w14:paraId="122A3859">
      <w:pPr>
        <w:pStyle w:val="4"/>
      </w:pPr>
      <w:r>
        <w:rPr>
          <w:rFonts w:hint="eastAsia"/>
        </w:rPr>
        <w:t>本文档描述了空间路由的详细设计，主要包括以下内容：</w:t>
      </w:r>
    </w:p>
    <w:p w14:paraId="78C0628E">
      <w:pPr>
        <w:pStyle w:val="4"/>
        <w:ind w:firstLineChars="0"/>
      </w:pPr>
      <w:r>
        <w:rPr>
          <w:rFonts w:hint="eastAsia"/>
        </w:rPr>
        <w:t>1）系统的软件架构</w:t>
      </w:r>
    </w:p>
    <w:p w14:paraId="0791D295">
      <w:pPr>
        <w:pStyle w:val="4"/>
        <w:ind w:firstLineChars="0"/>
      </w:pPr>
      <w:r>
        <w:rPr>
          <w:rFonts w:hint="eastAsia"/>
        </w:rPr>
        <w:t>2）L2S信令流程</w:t>
      </w:r>
    </w:p>
    <w:p w14:paraId="00484E50">
      <w:pPr>
        <w:pStyle w:val="4"/>
        <w:ind w:firstLineChars="0"/>
      </w:pPr>
      <w:r>
        <w:rPr>
          <w:rFonts w:hint="eastAsia"/>
        </w:rPr>
        <w:t>3）路由管理</w:t>
      </w:r>
    </w:p>
    <w:p w14:paraId="70F0FEAB">
      <w:pPr>
        <w:pStyle w:val="4"/>
        <w:ind w:firstLineChars="0"/>
      </w:pPr>
      <w:r>
        <w:rPr>
          <w:rFonts w:hint="eastAsia"/>
        </w:rPr>
        <w:t>4）数据转发和调度</w:t>
      </w:r>
    </w:p>
    <w:p w14:paraId="6866DB62">
      <w:pPr>
        <w:pStyle w:val="4"/>
        <w:ind w:firstLineChars="0"/>
      </w:pPr>
      <w:r>
        <w:rPr>
          <w:rFonts w:hint="eastAsia"/>
        </w:rPr>
        <w:t>4）发送和接收数据的处理流程、</w:t>
      </w:r>
    </w:p>
    <w:p w14:paraId="4CFB312B">
      <w:pPr>
        <w:pStyle w:val="4"/>
        <w:ind w:firstLineChars="0"/>
      </w:pPr>
      <w:r>
        <w:rPr>
          <w:rFonts w:hint="eastAsia"/>
        </w:rPr>
        <w:t>5）消息定义</w:t>
      </w:r>
    </w:p>
    <w:p w14:paraId="5B9A0E0B">
      <w:pPr>
        <w:pStyle w:val="4"/>
        <w:ind w:firstLineChars="0"/>
      </w:pPr>
      <w:r>
        <w:rPr>
          <w:rFonts w:hint="eastAsia"/>
        </w:rPr>
        <w:t>6）接口设计及定义</w:t>
      </w:r>
    </w:p>
    <w:p w14:paraId="4019AA84">
      <w:pPr>
        <w:rPr>
          <w:sz w:val="24"/>
        </w:rPr>
      </w:pPr>
      <w:r>
        <w:br w:type="page"/>
      </w:r>
    </w:p>
    <w:p w14:paraId="33AF60B9">
      <w:pPr>
        <w:pStyle w:val="2"/>
      </w:pPr>
      <w:bookmarkStart w:id="2" w:name="_Toc177115133"/>
      <w:r>
        <w:rPr>
          <w:rFonts w:hint="eastAsia"/>
        </w:rPr>
        <w:t>参考文献</w:t>
      </w:r>
      <w:bookmarkEnd w:id="2"/>
    </w:p>
    <w:p w14:paraId="6A1E59B8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sz w:val="21"/>
        </w:rPr>
        <w:t>IP over CCSDS Space Links. Issue 1. Recommendation for Space Data System Standards (Blue Book), CCSDS 702.1-B-1. Washington, D.C.: CCSDS, September 2012.</w:t>
      </w:r>
    </w:p>
    <w:p w14:paraId="2964D0BF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sz w:val="21"/>
        </w:rPr>
        <w:t>Space Assigned Number Authority (SANA) Registry: Internet Protocol Extension Header.” Space Assigned Numbers Authority. Consultative Committee for Space Data Systems. http://sanaregistry.org/r/ipe_header/.</w:t>
      </w:r>
    </w:p>
    <w:p w14:paraId="1BA8EE41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sz w:val="21"/>
        </w:rPr>
        <w:t>Encapsulation Packet Protocol. Issue 3. Recommendation for Space Data System Standards (Blue Book), CCSDS 133.1-B-3. Washington, D.C.: CCSDS, May 2020.</w:t>
      </w:r>
    </w:p>
    <w:p w14:paraId="3AC8F64D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sz w:val="21"/>
        </w:rPr>
        <w:t xml:space="preserve">Protocol Identifier for Encapsulation Service. Space Assigned Numbers Authority. </w:t>
      </w:r>
      <w:r>
        <w:fldChar w:fldCharType="begin"/>
      </w:r>
      <w:r>
        <w:instrText xml:space="preserve"> HYPERLINK "http://sanaregistry.org/r/protocol_id/" </w:instrText>
      </w:r>
      <w:r>
        <w:fldChar w:fldCharType="separate"/>
      </w:r>
      <w:r>
        <w:rPr>
          <w:rFonts w:eastAsia="等线" w:cs="Times New Roman"/>
          <w:color w:val="0563C1"/>
          <w:sz w:val="21"/>
          <w:u w:val="single"/>
        </w:rPr>
        <w:t>http://sanaregistry.org/r/protocol_id/</w:t>
      </w:r>
      <w:r>
        <w:rPr>
          <w:rFonts w:eastAsia="等线" w:cs="Times New Roman"/>
          <w:color w:val="0563C1"/>
          <w:sz w:val="21"/>
          <w:u w:val="single"/>
        </w:rPr>
        <w:fldChar w:fldCharType="end"/>
      </w:r>
      <w:r>
        <w:rPr>
          <w:rFonts w:eastAsia="等线" w:cs="Times New Roman"/>
          <w:sz w:val="21"/>
        </w:rPr>
        <w:t>.</w:t>
      </w:r>
    </w:p>
    <w:p w14:paraId="4A9DB4C6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i/>
          <w:iCs/>
          <w:sz w:val="21"/>
        </w:rPr>
        <w:t>Flexible Advanced Coding and Modulation Scheme for High Rate Telemetry Applications</w:t>
      </w:r>
      <w:r>
        <w:rPr>
          <w:rFonts w:eastAsia="等线" w:cs="Times New Roman"/>
          <w:sz w:val="21"/>
        </w:rPr>
        <w:t>. Issue 2. Recommendation for Space Data System Standards (Blue Book), CCSDS 131.2-B-2. Washington, D.C.: CCSDS, February 2023.</w:t>
      </w:r>
    </w:p>
    <w:p w14:paraId="1F2CF0BD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sz w:val="21"/>
        </w:rPr>
        <w:t xml:space="preserve">Unified Space Data Link Protocol. Issue 2. Recommendation for Space Data System </w:t>
      </w:r>
    </w:p>
    <w:p w14:paraId="1A1C5037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eastAsia="等线" w:cs="Times New Roman"/>
          <w:sz w:val="21"/>
        </w:rPr>
        <w:t>Standards (Blue Book), CCSDS 732.1-B-2. Washington, D.C.: CCSDS, October 2021.</w:t>
      </w:r>
    </w:p>
    <w:p w14:paraId="4B3E0162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hint="eastAsia" w:eastAsia="等线" w:cs="Times New Roman"/>
          <w:sz w:val="21"/>
        </w:rPr>
        <w:t>ITU-R.M 1371-5 Technical Characteristics for an Automatic Identification System Using Time division Multiple Access in the VHF Maritime Mobile Band [S].2014.</w:t>
      </w:r>
    </w:p>
    <w:p w14:paraId="24C7D74F">
      <w:pPr>
        <w:widowControl w:val="0"/>
        <w:numPr>
          <w:ilvl w:val="0"/>
          <w:numId w:val="11"/>
        </w:numPr>
        <w:spacing w:line="360" w:lineRule="auto"/>
        <w:rPr>
          <w:rFonts w:eastAsia="等线" w:cs="Times New Roman"/>
          <w:sz w:val="21"/>
        </w:rPr>
      </w:pPr>
      <w:r>
        <w:rPr>
          <w:rFonts w:hint="eastAsia" w:eastAsia="等线" w:cs="Times New Roman"/>
          <w:sz w:val="21"/>
        </w:rPr>
        <w:t>ITU-R.M 2092-1 Technical Characteristics for a VHF Data Exchange System in the VHF Maritime Mobile Band[S].2022.</w:t>
      </w:r>
    </w:p>
    <w:p w14:paraId="219BA8D9">
      <w:pPr>
        <w:pStyle w:val="4"/>
      </w:pPr>
      <w:r>
        <w:br w:type="page"/>
      </w:r>
    </w:p>
    <w:p w14:paraId="6BA95AAE">
      <w:pPr>
        <w:pStyle w:val="2"/>
      </w:pPr>
      <w:bookmarkStart w:id="3" w:name="_Toc177115134"/>
      <w:r>
        <w:rPr>
          <w:rFonts w:hint="eastAsia"/>
        </w:rPr>
        <w:t>缩略语</w:t>
      </w:r>
      <w:bookmarkEnd w:id="3"/>
    </w:p>
    <w:tbl>
      <w:tblPr>
        <w:tblStyle w:val="33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6458"/>
      </w:tblGrid>
      <w:tr w14:paraId="68CA3C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83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6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5B08BAD9">
            <w:pPr>
              <w:widowControl w:val="0"/>
              <w:overflowPunct w:val="0"/>
              <w:adjustRightInd w:val="0"/>
              <w:snapToGrid w:val="0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缩写</w:t>
            </w:r>
          </w:p>
        </w:tc>
        <w:tc>
          <w:tcPr>
            <w:tcW w:w="645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78F4F790">
            <w:pPr>
              <w:widowControl w:val="0"/>
              <w:overflowPunct w:val="0"/>
              <w:adjustRightInd w:val="0"/>
              <w:snapToGrid w:val="0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描述</w:t>
            </w:r>
          </w:p>
        </w:tc>
      </w:tr>
      <w:tr w14:paraId="36FC38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68E03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ACM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C32E15B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Adaptive Coding and Modulation</w:t>
            </w:r>
          </w:p>
        </w:tc>
      </w:tr>
      <w:tr w14:paraId="48BBAA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DC00A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ASM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15D05FD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Attached SYNC Marker</w:t>
            </w:r>
          </w:p>
        </w:tc>
      </w:tr>
      <w:tr w14:paraId="1ADB0D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7F564E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CCSDS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A1ECE3E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Consultative Committee for Space Data Systems</w:t>
            </w:r>
          </w:p>
        </w:tc>
      </w:tr>
      <w:tr w14:paraId="7303FB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37259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CLCW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966ACE6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Communications Link Control Word</w:t>
            </w:r>
          </w:p>
        </w:tc>
      </w:tr>
      <w:tr w14:paraId="79B512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D7E15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COP-1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86AF13A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Communications Operation Procedure-1</w:t>
            </w:r>
          </w:p>
        </w:tc>
      </w:tr>
      <w:tr w14:paraId="72302D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FA01D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EPP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0CE3767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Encapsulation Packet Protocol</w:t>
            </w:r>
          </w:p>
        </w:tc>
      </w:tr>
      <w:tr w14:paraId="25BE32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3F319C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FECF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C5F0E8E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Frame Error Control Field</w:t>
            </w:r>
          </w:p>
        </w:tc>
      </w:tr>
      <w:tr w14:paraId="0EDE3A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50B75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FHP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CE52C38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First Header Pointer</w:t>
            </w:r>
          </w:p>
        </w:tc>
      </w:tr>
      <w:tr w14:paraId="6D4EB6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0AE7C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FSR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3E2C28F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Frame Security Report</w:t>
            </w:r>
          </w:p>
        </w:tc>
      </w:tr>
      <w:tr w14:paraId="56B377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F46AD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IP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DD7465F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Internet Protocol</w:t>
            </w:r>
          </w:p>
        </w:tc>
      </w:tr>
      <w:tr w14:paraId="50CBFD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F5921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IPE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23B1CC9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Internet Protocol Extension</w:t>
            </w:r>
          </w:p>
        </w:tc>
      </w:tr>
      <w:tr w14:paraId="5B61F9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F813B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IPoC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F9D94CA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IP over CCSDS</w:t>
            </w:r>
          </w:p>
        </w:tc>
      </w:tr>
      <w:tr w14:paraId="5EE33A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AEC65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MAP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0BD47B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Multiplexer Access Points</w:t>
            </w:r>
          </w:p>
        </w:tc>
      </w:tr>
      <w:tr w14:paraId="147E7A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5520DF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MAPP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2DAF1E4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Multiplexer Access Points Packet</w:t>
            </w:r>
          </w:p>
        </w:tc>
      </w:tr>
      <w:tr w14:paraId="30AF3C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292703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OCF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CCA8723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Operational Control Field</w:t>
            </w:r>
          </w:p>
        </w:tc>
      </w:tr>
      <w:tr w14:paraId="5C722B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BF649F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OID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83FC48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Only Idle Data</w:t>
            </w:r>
          </w:p>
        </w:tc>
      </w:tr>
      <w:tr w14:paraId="2462D8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228E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OPA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3C55536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Orbit-Phase Address</w:t>
            </w:r>
          </w:p>
        </w:tc>
      </w:tr>
      <w:tr w14:paraId="30E9DF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DFA37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OSPF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6450551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Open Shortest Path First</w:t>
            </w:r>
          </w:p>
        </w:tc>
      </w:tr>
      <w:tr w14:paraId="231811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5BA60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PDU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033BAAE7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Protocol Data Unit</w:t>
            </w:r>
          </w:p>
        </w:tc>
      </w:tr>
      <w:tr w14:paraId="51D409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63DD2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SCID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C2E9341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Spacecraft Identifier</w:t>
            </w:r>
          </w:p>
        </w:tc>
      </w:tr>
      <w:tr w14:paraId="7A52BA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6DA786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SDLS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C0964C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Space Data Link Security</w:t>
            </w:r>
          </w:p>
        </w:tc>
      </w:tr>
      <w:tr w14:paraId="1877BA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7E00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SDU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3ADAAA0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Service Data Unit</w:t>
            </w:r>
          </w:p>
        </w:tc>
      </w:tr>
      <w:tr w14:paraId="253C73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D57F0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SPF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A937000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Shortest Path First</w:t>
            </w:r>
          </w:p>
        </w:tc>
      </w:tr>
      <w:tr w14:paraId="2ED2E7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27594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SSSC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056A7D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Serial Concatenated Convolutional Code</w:t>
            </w:r>
          </w:p>
        </w:tc>
      </w:tr>
      <w:tr w14:paraId="331D00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9F586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TFDF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AED0D1E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Transfer Frame Data Field</w:t>
            </w:r>
          </w:p>
        </w:tc>
      </w:tr>
      <w:tr w14:paraId="7C074C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97EFDA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TFDZ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1D96513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Transfer Frame Data Zone</w:t>
            </w:r>
          </w:p>
        </w:tc>
      </w:tr>
      <w:tr w14:paraId="276F7F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F29C9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TFVN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3C2E8F3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Transfer Frame Version Number</w:t>
            </w:r>
          </w:p>
        </w:tc>
      </w:tr>
      <w:tr w14:paraId="782B75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9626C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USLP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AC1CEE7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Unified Space Data Link Protocol</w:t>
            </w:r>
          </w:p>
        </w:tc>
      </w:tr>
      <w:tr w14:paraId="08BC86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797E8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UPID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6B6989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USLP Protocol Identifier</w:t>
            </w:r>
          </w:p>
        </w:tc>
      </w:tr>
      <w:tr w14:paraId="177EAD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D7FF5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VCF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672A708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Virtual Channel Frame</w:t>
            </w:r>
          </w:p>
        </w:tc>
      </w:tr>
      <w:tr w14:paraId="63E52E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8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71C97E29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VCID</w:t>
            </w:r>
          </w:p>
        </w:tc>
        <w:tc>
          <w:tcPr>
            <w:tcW w:w="6458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F9EC25">
            <w:pPr>
              <w:widowControl w:val="0"/>
              <w:overflowPunct w:val="0"/>
              <w:adjustRightInd w:val="0"/>
              <w:snapToGrid w:val="0"/>
              <w:jc w:val="left"/>
            </w:pPr>
            <w:r>
              <w:t>Virtual Channel Identifier</w:t>
            </w:r>
          </w:p>
        </w:tc>
      </w:tr>
    </w:tbl>
    <w:p w14:paraId="6A2342D7">
      <w:pPr>
        <w:pStyle w:val="4"/>
      </w:pPr>
    </w:p>
    <w:p w14:paraId="65C827D1">
      <w:pPr>
        <w:jc w:val="left"/>
        <w:rPr>
          <w:sz w:val="24"/>
        </w:rPr>
      </w:pPr>
      <w:r>
        <w:br w:type="page"/>
      </w:r>
    </w:p>
    <w:p w14:paraId="4AAC647A">
      <w:pPr>
        <w:pStyle w:val="2"/>
        <w:numPr>
          <w:ilvl w:val="0"/>
          <w:numId w:val="10"/>
        </w:numPr>
      </w:pPr>
      <w:bookmarkStart w:id="4" w:name="_Toc177115135"/>
      <w:r>
        <w:rPr>
          <w:rFonts w:hint="eastAsia"/>
        </w:rPr>
        <w:t>概述</w:t>
      </w:r>
      <w:bookmarkEnd w:id="0"/>
      <w:bookmarkEnd w:id="4"/>
    </w:p>
    <w:p w14:paraId="52977735">
      <w:pPr>
        <w:pStyle w:val="4"/>
      </w:pPr>
      <w:bookmarkStart w:id="5" w:name="_Hlk173317785"/>
      <w:r>
        <w:rPr>
          <w:rFonts w:hint="eastAsia"/>
        </w:rPr>
        <w:t>本设计VDES星座空间路由详细设计，基于控制面、转发面的框架，对路由协议和信令、数据转发、IP报文的链路层封装解封装、数据存储和调度、逻辑接口等详细阐述。本设计可指导空间路由软件的开发。</w:t>
      </w:r>
    </w:p>
    <w:bookmarkEnd w:id="5"/>
    <w:p w14:paraId="17C512C2">
      <w:pPr>
        <w:pStyle w:val="2"/>
      </w:pPr>
      <w:bookmarkStart w:id="6" w:name="_Toc177115136"/>
      <w:bookmarkStart w:id="7" w:name="_Toc173251357"/>
      <w:r>
        <w:rPr>
          <w:rFonts w:hint="eastAsia"/>
        </w:rPr>
        <w:t>背景介绍</w:t>
      </w:r>
      <w:bookmarkEnd w:id="6"/>
      <w:bookmarkEnd w:id="7"/>
    </w:p>
    <w:p w14:paraId="7E6D6288">
      <w:pPr>
        <w:pStyle w:val="4"/>
      </w:pPr>
      <w:bookmarkStart w:id="8" w:name="_Hlk173317795"/>
      <w:bookmarkStart w:id="9" w:name="_Toc173251359"/>
      <w:r>
        <w:rPr>
          <w:rFonts w:hint="eastAsia"/>
        </w:rPr>
        <w:t>千帆VDES星座系统（以下简称VDES-S）是全球多媒体卫星网络系统项目一期GEN1卫星（后文简称：GMS GEN1卫星）的重要组成部分，它的主要任务是在全球范围内实现地面与船舶之间、卫星与船舶之间实现远程双向数据交换。</w:t>
      </w:r>
    </w:p>
    <w:p w14:paraId="4569F53D">
      <w:pPr>
        <w:pStyle w:val="4"/>
      </w:pPr>
      <w:r>
        <w:rPr>
          <w:rFonts w:hint="eastAsia"/>
        </w:rPr>
        <w:t>空间路由主要实现空间段的卫星星间链路的路由交换、数据交互等功能。</w:t>
      </w:r>
    </w:p>
    <w:p w14:paraId="0CF20C7D">
      <w:pPr>
        <w:pStyle w:val="4"/>
      </w:pPr>
      <w:r>
        <w:rPr>
          <w:rFonts w:hint="eastAsia"/>
        </w:rPr>
        <w:t>IPoverCCSDS技术（以下简称IPoC）主要实现VDES系统中的地面段、用户端、空间段各组网设备在泛IP化下的互联互通、数据交互。</w:t>
      </w:r>
    </w:p>
    <w:bookmarkEnd w:id="8"/>
    <w:p w14:paraId="3CD5DD65">
      <w:pPr>
        <w:pStyle w:val="2"/>
      </w:pPr>
      <w:bookmarkStart w:id="10" w:name="_Toc177115137"/>
      <w:r>
        <w:rPr>
          <w:rFonts w:hint="eastAsia"/>
        </w:rPr>
        <w:t>适用范围</w:t>
      </w:r>
      <w:bookmarkEnd w:id="9"/>
      <w:bookmarkEnd w:id="10"/>
    </w:p>
    <w:p w14:paraId="739B3831">
      <w:pPr>
        <w:pStyle w:val="4"/>
      </w:pPr>
      <w:bookmarkStart w:id="11" w:name="_Hlk173317834"/>
      <w:r>
        <w:rPr>
          <w:rFonts w:hint="eastAsia"/>
        </w:rPr>
        <w:t>本方案仅适用于千帆一代VDES卫星载荷的前期研制论证工作。</w:t>
      </w:r>
    </w:p>
    <w:bookmarkEnd w:id="11"/>
    <w:p w14:paraId="24C79B1A">
      <w:pPr>
        <w:pStyle w:val="2"/>
      </w:pPr>
      <w:bookmarkStart w:id="12" w:name="_Toc173251360"/>
      <w:bookmarkStart w:id="13" w:name="_Toc177115138"/>
      <w:r>
        <w:rPr>
          <w:rFonts w:hint="eastAsia"/>
        </w:rPr>
        <w:t>设计依据</w:t>
      </w:r>
      <w:bookmarkEnd w:id="12"/>
      <w:bookmarkEnd w:id="13"/>
    </w:p>
    <w:p w14:paraId="1895EC1F">
      <w:pPr>
        <w:pStyle w:val="4"/>
      </w:pPr>
      <w:r>
        <w:rPr>
          <w:rFonts w:hint="eastAsia"/>
        </w:rPr>
        <w:t>《基于CCSDS链路的数据传输协议》…编号… 2024年7月</w:t>
      </w:r>
    </w:p>
    <w:p w14:paraId="4A90132A">
      <w:pPr>
        <w:pStyle w:val="4"/>
      </w:pPr>
      <w:r>
        <w:rPr>
          <w:rFonts w:hint="eastAsia"/>
        </w:rPr>
        <w:t>《GMS GEN1项目载荷技术要求》，V1.0，上海垣信卫星科技有限公司，2022年9月；</w:t>
      </w:r>
    </w:p>
    <w:p w14:paraId="143C0B0D">
      <w:pPr>
        <w:pStyle w:val="4"/>
      </w:pPr>
      <w:r>
        <w:rPr>
          <w:rFonts w:hint="eastAsia"/>
        </w:rPr>
        <w:t>《GMS GEN1 载荷总体技术要求第一次补充说明》，上海垣信卫星科技有限公司，2023年1月；</w:t>
      </w:r>
    </w:p>
    <w:p w14:paraId="5E80AE90">
      <w:pPr>
        <w:pStyle w:val="4"/>
      </w:pPr>
      <w:r>
        <w:rPr>
          <w:rFonts w:hint="eastAsia"/>
        </w:rPr>
        <w:t>《千帆一代VDES载荷技术要求V1.X》，V1.X，2024年X月</w:t>
      </w:r>
    </w:p>
    <w:p w14:paraId="09B5B709">
      <w:pPr>
        <w:pStyle w:val="4"/>
      </w:pPr>
      <w:r>
        <w:rPr>
          <w:rFonts w:hint="eastAsia"/>
        </w:rPr>
        <w:t>《千帆一代激光终端载荷技术要求V1.X》，V1.X，2024年X月</w:t>
      </w:r>
    </w:p>
    <w:p w14:paraId="1B3B9D41">
      <w:pPr>
        <w:pStyle w:val="4"/>
      </w:pPr>
      <w:r>
        <w:rPr>
          <w:rFonts w:hint="eastAsia"/>
        </w:rPr>
        <w:t>《千帆一代Ka星间通信载荷技术要求V1.X》，V1.X，2024年X月</w:t>
      </w:r>
    </w:p>
    <w:p w14:paraId="590C76F1">
      <w:pPr>
        <w:pStyle w:val="4"/>
      </w:pPr>
      <w:r>
        <w:rPr>
          <w:rFonts w:hint="eastAsia"/>
        </w:rPr>
        <w:t>《VDES卫星系统总体技术方案》，V1.X，2024年X月</w:t>
      </w:r>
    </w:p>
    <w:p w14:paraId="4E3BDB75">
      <w:pPr>
        <w:pStyle w:val="4"/>
      </w:pPr>
      <w:r>
        <w:rPr>
          <w:rFonts w:hint="eastAsia"/>
        </w:rPr>
        <w:t>《VDES卫星系统通信技术体制规范概述》, 2024年3月</w:t>
      </w:r>
    </w:p>
    <w:p w14:paraId="695F0486">
      <w:pPr>
        <w:pStyle w:val="2"/>
      </w:pPr>
      <w:bookmarkStart w:id="14" w:name="_Toc173251366"/>
      <w:bookmarkStart w:id="15" w:name="_Toc177115139"/>
      <w:r>
        <w:rPr>
          <w:rFonts w:hint="eastAsia"/>
        </w:rPr>
        <w:t>方案设计</w:t>
      </w:r>
      <w:bookmarkEnd w:id="14"/>
      <w:bookmarkEnd w:id="15"/>
    </w:p>
    <w:p w14:paraId="7D3D6D88">
      <w:pPr>
        <w:pStyle w:val="4"/>
      </w:pPr>
      <w:r>
        <w:rPr>
          <w:rFonts w:hint="eastAsia"/>
        </w:rPr>
        <w:t>空间路由是系统中的星上路由交换设备，连接激光载荷综合处理机、微波端机、卫星平台、星务计算机。需要支持用户面、控制面和管理面的功能。</w:t>
      </w:r>
    </w:p>
    <w:p w14:paraId="389FE6FA">
      <w:pPr>
        <w:pStyle w:val="5"/>
      </w:pPr>
      <w:bookmarkStart w:id="16" w:name="_Toc177115140"/>
      <w:r>
        <w:rPr>
          <w:rFonts w:hint="eastAsia"/>
        </w:rPr>
        <w:t>软件架构</w:t>
      </w:r>
      <w:bookmarkEnd w:id="16"/>
    </w:p>
    <w:p w14:paraId="696CE64D">
      <w:pPr>
        <w:pStyle w:val="4"/>
      </w:pPr>
      <w:r>
        <w:rPr>
          <w:rFonts w:hint="eastAsia"/>
        </w:rPr>
        <w:t>协议栈软件架构如下图所示：</w:t>
      </w:r>
    </w:p>
    <w:p w14:paraId="11CBFDE1">
      <w:pPr>
        <w:pStyle w:val="72"/>
      </w:pPr>
      <w:r>
        <w:rPr>
          <w:rFonts w:hint="eastAsia"/>
        </w:rPr>
        <w:object>
          <v:shape id="_x0000_i1025" o:spt="75" type="#_x0000_t75" style="height:350.25pt;width:422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2">
            <o:LockedField>false</o:LockedField>
          </o:OLEObject>
        </w:object>
      </w:r>
    </w:p>
    <w:p w14:paraId="59D75569">
      <w:pPr>
        <w:pStyle w:val="4"/>
      </w:pPr>
      <w:r>
        <w:rPr>
          <w:rFonts w:hint="eastAsia"/>
        </w:rPr>
        <w:t>VDES软件协议主要包括L2S、FOWARD、ROUTER、DLL及COMMOM五部分，其中L2S主要完成与相邻节点邻居的建立、与邻居链路的维护、拓扑的泛洪及对端信号质量的上报；FORWARD主要完成发送信令IP头的添加、接收信令公共头的解析、周期性的更新路由表信息；ROUTER主要完成静态及动态路由策略下的路由表维护及路由的选择；DLL主要分为接收和发送的处理，接收主要完成ULSP/EPP/IPE头部的去除、数据包的重组；发送侧主要完成IPE/EPP/ULSP头部的添加、数据的分段或级联；COMMON主要提供公共接口及公共数据结构的定义。</w:t>
      </w:r>
    </w:p>
    <w:p w14:paraId="34F49196">
      <w:pPr>
        <w:pStyle w:val="5"/>
      </w:pPr>
      <w:bookmarkStart w:id="17" w:name="_Toc177115141"/>
      <w:r>
        <w:rPr>
          <w:rFonts w:hint="eastAsia"/>
        </w:rPr>
        <w:t>L2S信令流程</w:t>
      </w:r>
      <w:bookmarkEnd w:id="17"/>
    </w:p>
    <w:p w14:paraId="2581E54F">
      <w:pPr>
        <w:pStyle w:val="7"/>
      </w:pPr>
      <w:bookmarkStart w:id="18" w:name="_Toc177115142"/>
      <w:r>
        <w:rPr>
          <w:rFonts w:hint="eastAsia"/>
        </w:rPr>
        <w:t>Hello流程</w:t>
      </w:r>
      <w:bookmarkEnd w:id="18"/>
    </w:p>
    <w:p w14:paraId="0346DBEC">
      <w:pPr>
        <w:pStyle w:val="9"/>
      </w:pPr>
      <w:r>
        <w:rPr>
          <w:rFonts w:hint="eastAsia"/>
        </w:rPr>
        <w:t>Hello流程</w:t>
      </w:r>
    </w:p>
    <w:p w14:paraId="506FA681">
      <w:pPr>
        <w:pStyle w:val="72"/>
      </w:pPr>
      <w:r>
        <w:object>
          <v:shape id="_x0000_i1026" o:spt="75" type="#_x0000_t75" style="height:180pt;width:354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14">
            <o:LockedField>false</o:LockedField>
          </o:OLEObject>
        </w:object>
      </w:r>
    </w:p>
    <w:p w14:paraId="66537E6D">
      <w:pPr>
        <w:pStyle w:val="4"/>
      </w:pPr>
      <w:r>
        <w:rPr>
          <w:rFonts w:hint="eastAsia"/>
        </w:rPr>
        <w:t>卫星周期性（1s）的向周围邻居发送HELLO消息，HELLO携带邻居信息。当卫星接收到的HELLO消息包含自己时，则对应nbrSatId的twowayReachable；如果HELLO消息中不包含自己，更新邻居信息nbrSatId。</w:t>
      </w:r>
    </w:p>
    <w:p w14:paraId="2C260B18">
      <w:pPr>
        <w:pStyle w:val="9"/>
      </w:pPr>
      <w:r>
        <w:rPr>
          <w:rFonts w:hint="eastAsia"/>
        </w:rPr>
        <w:t>双向邻居在线监测</w:t>
      </w:r>
    </w:p>
    <w:p w14:paraId="4A8455FC">
      <w:pPr>
        <w:pStyle w:val="4"/>
      </w:pPr>
      <w:r>
        <w:rPr>
          <w:rFonts w:hint="eastAsia"/>
        </w:rPr>
        <w:t>当与邻居卫星达到双向可达后，启动双向邻居在线监测定时器，收到邻居HELLO消息后重启，定时器时长4s。当定时器超时，则认为与邻居卫星链路不可达。</w:t>
      </w:r>
    </w:p>
    <w:p w14:paraId="51E37C36">
      <w:pPr>
        <w:pStyle w:val="7"/>
      </w:pPr>
      <w:bookmarkStart w:id="19" w:name="_Toc177115143"/>
      <w:bookmarkStart w:id="20" w:name="_Toc25668"/>
      <w:r>
        <w:rPr>
          <w:rFonts w:hint="eastAsia"/>
        </w:rPr>
        <w:t>TOPO流程</w:t>
      </w:r>
      <w:bookmarkEnd w:id="19"/>
      <w:bookmarkEnd w:id="20"/>
    </w:p>
    <w:p w14:paraId="1F211164">
      <w:pPr>
        <w:pStyle w:val="9"/>
      </w:pPr>
      <w:r>
        <w:rPr>
          <w:rFonts w:hint="eastAsia"/>
        </w:rPr>
        <w:t>周期性TOPO流程</w:t>
      </w:r>
    </w:p>
    <w:p w14:paraId="52A4E0C6">
      <w:pPr>
        <w:pStyle w:val="4"/>
      </w:pPr>
      <w:r>
        <w:rPr>
          <w:rFonts w:hint="eastAsia"/>
        </w:rPr>
        <w:t>当卫星的双向可达邻居不为空时，开始周期性的向周围邻居发送TOPO消息，TOPO消息中只携带本卫星最新的TOPO信息，TOPO信息中SN加1。</w:t>
      </w:r>
    </w:p>
    <w:p w14:paraId="1A4FF5A8">
      <w:pPr>
        <w:pStyle w:val="9"/>
      </w:pPr>
      <w:r>
        <w:rPr>
          <w:rFonts w:hint="eastAsia"/>
        </w:rPr>
        <w:t>事件性TOPO流程</w:t>
      </w:r>
    </w:p>
    <w:p w14:paraId="088FECD3">
      <w:pPr>
        <w:pStyle w:val="4"/>
      </w:pPr>
      <w:r>
        <w:rPr>
          <w:rFonts w:hint="eastAsia"/>
        </w:rPr>
        <w:t>当卫星检测到拓扑信息发生变化时，触发TOPO流程，该TOPO消息携带本地所有路由的TOPO信息，同时本星TOPO信息中SN加1.</w:t>
      </w:r>
    </w:p>
    <w:p w14:paraId="147D1660">
      <w:pPr>
        <w:pStyle w:val="9"/>
      </w:pPr>
      <w:r>
        <w:rPr>
          <w:rFonts w:hint="eastAsia"/>
        </w:rPr>
        <w:t>收到TOPO消息的处理</w:t>
      </w:r>
    </w:p>
    <w:p w14:paraId="1DD00B70">
      <w:pPr>
        <w:pStyle w:val="4"/>
      </w:pPr>
      <w:r>
        <w:rPr>
          <w:rFonts w:hint="eastAsia"/>
        </w:rPr>
        <w:t>当收到邻居卫星的TOPO消息时，依次遍历TOPO消息中所有的卫星的TOPO信息，并与本地拓扑表中该邻居卫星的TOPO进行比较：</w:t>
      </w:r>
    </w:p>
    <w:p w14:paraId="515381C2">
      <w:pPr>
        <w:pStyle w:val="4"/>
        <w:numPr>
          <w:ilvl w:val="0"/>
          <w:numId w:val="12"/>
        </w:numPr>
      </w:pPr>
      <w:r>
        <w:rPr>
          <w:rFonts w:hint="eastAsia"/>
        </w:rPr>
        <w:t>如果收到的TOPO消息的卫星在本地未找到，则认为是新增邻居拓扑，在本地TOPO表中新增该邻居卫星的TOPO信息，并开启TOPO老化定时器；</w:t>
      </w:r>
    </w:p>
    <w:p w14:paraId="0BA5C08D">
      <w:pPr>
        <w:pStyle w:val="4"/>
        <w:numPr>
          <w:ilvl w:val="0"/>
          <w:numId w:val="12"/>
        </w:numPr>
      </w:pPr>
      <w:r>
        <w:rPr>
          <w:rFonts w:hint="eastAsia"/>
        </w:rPr>
        <w:t>如果收到的TOPO消息的卫星在本地找到，且SN号有更新，则更新该邻居卫星的TOPO信息，同时重启TOPO老化定时器；如果SN号没有更新，不予处理；</w:t>
      </w:r>
    </w:p>
    <w:p w14:paraId="70D8A93A">
      <w:pPr>
        <w:pStyle w:val="4"/>
        <w:numPr>
          <w:ilvl w:val="0"/>
          <w:numId w:val="12"/>
        </w:numPr>
      </w:pPr>
      <w:r>
        <w:rPr>
          <w:rFonts w:hint="eastAsia"/>
        </w:rPr>
        <w:t>如果卫星节点的TOPO信息发生了变化，则通知路由模块。</w:t>
      </w:r>
    </w:p>
    <w:p w14:paraId="42E10544">
      <w:pPr>
        <w:pStyle w:val="9"/>
      </w:pPr>
      <w:r>
        <w:rPr>
          <w:rFonts w:hint="eastAsia"/>
        </w:rPr>
        <w:t>TOPO老化监测</w:t>
      </w:r>
    </w:p>
    <w:p w14:paraId="4D93CA75">
      <w:pPr>
        <w:pStyle w:val="4"/>
      </w:pPr>
      <w:r>
        <w:rPr>
          <w:rFonts w:hint="eastAsia"/>
        </w:rPr>
        <w:t>如果TOPO老化定时器超时，则认为与该卫星链路不通。</w:t>
      </w:r>
    </w:p>
    <w:p w14:paraId="39CAD2A8">
      <w:pPr>
        <w:pStyle w:val="7"/>
      </w:pPr>
      <w:bookmarkStart w:id="21" w:name="_Toc177115144"/>
      <w:r>
        <w:rPr>
          <w:rFonts w:hint="eastAsia"/>
        </w:rPr>
        <w:t>EsN0测量上报流程</w:t>
      </w:r>
      <w:bookmarkEnd w:id="21"/>
    </w:p>
    <w:p w14:paraId="35003CF1">
      <w:pPr>
        <w:pStyle w:val="4"/>
      </w:pPr>
      <w:r>
        <w:rPr>
          <w:rFonts w:hint="eastAsia"/>
        </w:rPr>
        <w:t>卫星开机后，周期性的向邻居卫星上报接收到的CNI，供邻居节点进行ACM控制。</w:t>
      </w:r>
    </w:p>
    <w:p w14:paraId="652EAF15">
      <w:pPr>
        <w:pStyle w:val="72"/>
      </w:pPr>
      <w:r>
        <w:rPr>
          <w:rFonts w:hint="eastAsia"/>
        </w:rPr>
        <w:object>
          <v:shape id="_x0000_i1027" o:spt="75" type="#_x0000_t75" style="height:126.75pt;width:25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16">
            <o:LockedField>false</o:LockedField>
          </o:OLEObject>
        </w:object>
      </w:r>
    </w:p>
    <w:p w14:paraId="4AFFA80C">
      <w:pPr>
        <w:pStyle w:val="4"/>
      </w:pPr>
      <w:r>
        <w:rPr>
          <w:rFonts w:hint="eastAsia"/>
        </w:rPr>
        <w:t>周期定时器超时前，L2S收集物理层上报的该邻居卫星的ESN0，周期性的向邻居卫星上报。</w:t>
      </w:r>
    </w:p>
    <w:p w14:paraId="4CDEB205">
      <w:pPr>
        <w:pStyle w:val="7"/>
      </w:pPr>
      <w:bookmarkStart w:id="22" w:name="_Toc177115145"/>
      <w:r>
        <w:rPr>
          <w:rFonts w:hint="eastAsia"/>
        </w:rPr>
        <w:t>节点信息及维护</w:t>
      </w:r>
      <w:bookmarkEnd w:id="22"/>
    </w:p>
    <w:p w14:paraId="1660459B">
      <w:pPr>
        <w:pStyle w:val="9"/>
      </w:pPr>
      <w:r>
        <w:rPr>
          <w:rFonts w:hint="eastAsia"/>
        </w:rPr>
        <w:t>邻居信息管理</w:t>
      </w:r>
    </w:p>
    <w:p w14:paraId="065B1258">
      <w:pPr>
        <w:pStyle w:val="4"/>
      </w:pPr>
      <w:r>
        <w:t xml:space="preserve">struct </w:t>
      </w:r>
      <w:r>
        <w:rPr>
          <w:rFonts w:hint="eastAsia"/>
        </w:rPr>
        <w:t>locaSatContext</w:t>
      </w:r>
    </w:p>
    <w:p w14:paraId="6EDB74EF">
      <w:pPr>
        <w:pStyle w:val="4"/>
      </w:pPr>
      <w:r>
        <w:rPr>
          <w:rFonts w:hint="eastAsia"/>
        </w:rPr>
        <w:t>{</w:t>
      </w:r>
    </w:p>
    <w:p w14:paraId="7421F327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my</w:t>
      </w:r>
      <w:r>
        <w:t>SatId;</w:t>
      </w:r>
    </w:p>
    <w:p w14:paraId="557A0299">
      <w:pPr>
        <w:pStyle w:val="4"/>
      </w:pPr>
      <w:r>
        <w:tab/>
      </w:r>
      <w:r>
        <w:rPr>
          <w:rFonts w:hint="eastAsia"/>
        </w:rPr>
        <w:t>bool</w:t>
      </w:r>
      <w:r>
        <w:t xml:space="preserve"> </w:t>
      </w:r>
      <w:r>
        <w:rPr>
          <w:rFonts w:hint="eastAsia"/>
        </w:rPr>
        <w:t xml:space="preserve">    acmFlag</w:t>
      </w:r>
      <w:r>
        <w:t>;</w:t>
      </w:r>
    </w:p>
    <w:p w14:paraId="44C282EB">
      <w:pPr>
        <w:pStyle w:val="4"/>
      </w:pPr>
      <w:r>
        <w:tab/>
      </w:r>
      <w:r>
        <w:t>Nbr</w:t>
      </w:r>
      <w:r>
        <w:rPr>
          <w:rFonts w:hint="eastAsia"/>
        </w:rPr>
        <w:t>Context_s myNbrInfo[4];</w:t>
      </w:r>
    </w:p>
    <w:p w14:paraId="75255B51">
      <w:pPr>
        <w:pStyle w:val="4"/>
      </w:pPr>
      <w:r>
        <w:rPr>
          <w:rFonts w:hint="eastAsia"/>
        </w:rPr>
        <w:t>}</w:t>
      </w:r>
    </w:p>
    <w:p w14:paraId="352D2C7C">
      <w:pPr>
        <w:pStyle w:val="9"/>
      </w:pPr>
      <w:r>
        <w:rPr>
          <w:rFonts w:hint="eastAsia"/>
        </w:rPr>
        <w:t>邻居信息管理</w:t>
      </w:r>
    </w:p>
    <w:p w14:paraId="211066D8">
      <w:pPr>
        <w:pStyle w:val="4"/>
      </w:pPr>
      <w:r>
        <w:rPr>
          <w:rFonts w:hint="eastAsia"/>
        </w:rPr>
        <w:t>每颗卫星维护与周围4颗邻居卫星的可达情况，结构体如下：</w:t>
      </w:r>
    </w:p>
    <w:p w14:paraId="0D461F20">
      <w:pPr>
        <w:pStyle w:val="4"/>
      </w:pPr>
      <w:r>
        <w:t>struct Nbr</w:t>
      </w:r>
      <w:r>
        <w:rPr>
          <w:rFonts w:hint="eastAsia"/>
        </w:rPr>
        <w:t>Context_s</w:t>
      </w:r>
    </w:p>
    <w:p w14:paraId="5624BA02">
      <w:pPr>
        <w:pStyle w:val="4"/>
      </w:pPr>
      <w:r>
        <w:rPr>
          <w:rFonts w:hint="eastAsia"/>
        </w:rPr>
        <w:t>{</w:t>
      </w:r>
    </w:p>
    <w:p w14:paraId="5A00BF15">
      <w:pPr>
        <w:pStyle w:val="4"/>
      </w:pPr>
      <w:r>
        <w:tab/>
      </w:r>
      <w:r>
        <w:rPr>
          <w:rFonts w:hint="eastAsia"/>
        </w:rPr>
        <w:t>bool</w:t>
      </w:r>
      <w:r>
        <w:t xml:space="preserve"> </w:t>
      </w:r>
      <w:r>
        <w:rPr>
          <w:rFonts w:hint="eastAsia"/>
        </w:rPr>
        <w:t xml:space="preserve">    usedFlag;</w:t>
      </w:r>
    </w:p>
    <w:p w14:paraId="69AF7918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</w:t>
      </w:r>
      <w:r>
        <w:t>nbrSatId;</w:t>
      </w:r>
    </w:p>
    <w:p w14:paraId="0BC58036">
      <w:pPr>
        <w:pStyle w:val="4"/>
      </w:pPr>
      <w:r>
        <w:tab/>
      </w:r>
      <w:r>
        <w:t xml:space="preserve">portId_t </w:t>
      </w:r>
      <w:r>
        <w:rPr>
          <w:rFonts w:hint="eastAsia"/>
        </w:rPr>
        <w:t xml:space="preserve"> </w:t>
      </w:r>
      <w:r>
        <w:t>portId;</w:t>
      </w:r>
    </w:p>
    <w:p w14:paraId="32D46013">
      <w:pPr>
        <w:pStyle w:val="4"/>
      </w:pPr>
      <w:r>
        <w:tab/>
      </w:r>
      <w:r>
        <w:rPr>
          <w:rFonts w:hint="eastAsia"/>
        </w:rPr>
        <w:t>bool</w:t>
      </w:r>
      <w:r>
        <w:t xml:space="preserve"> </w:t>
      </w:r>
      <w:r>
        <w:rPr>
          <w:rFonts w:hint="eastAsia"/>
        </w:rPr>
        <w:t xml:space="preserve">     twowayReachableFlag;</w:t>
      </w:r>
    </w:p>
    <w:p w14:paraId="1876852F">
      <w:pPr>
        <w:pStyle w:val="4"/>
      </w:pPr>
      <w:r>
        <w:tab/>
      </w:r>
      <w:r>
        <w:rPr>
          <w:rFonts w:hint="eastAsia"/>
        </w:rPr>
        <w:t>Timer_s*</w:t>
      </w:r>
      <w:r>
        <w:t xml:space="preserve"> </w:t>
      </w:r>
      <w:r>
        <w:rPr>
          <w:rFonts w:hint="eastAsia"/>
        </w:rPr>
        <w:t xml:space="preserve"> pstNbrHelloLoseTimer;</w:t>
      </w:r>
    </w:p>
    <w:p w14:paraId="15E00C1B">
      <w:pPr>
        <w:pStyle w:val="4"/>
      </w:pPr>
      <w:r>
        <w:tab/>
      </w:r>
      <w:r>
        <w:rPr>
          <w:rFonts w:hint="eastAsia"/>
        </w:rPr>
        <w:t>NbrRlAmcInfo_s</w:t>
      </w:r>
      <w:r>
        <w:t xml:space="preserve"> </w:t>
      </w:r>
      <w:r>
        <w:rPr>
          <w:rFonts w:hint="eastAsia"/>
        </w:rPr>
        <w:t xml:space="preserve">   *pstNbrRlAmcInfo;</w:t>
      </w:r>
    </w:p>
    <w:p w14:paraId="4F3D2BD8">
      <w:pPr>
        <w:pStyle w:val="4"/>
      </w:pPr>
      <w:r>
        <w:tab/>
      </w:r>
      <w:r>
        <w:rPr>
          <w:rFonts w:hint="eastAsia"/>
        </w:rPr>
        <w:t>NbrFlAmcInfo_s</w:t>
      </w:r>
      <w:r>
        <w:t xml:space="preserve"> </w:t>
      </w:r>
      <w:r>
        <w:rPr>
          <w:rFonts w:hint="eastAsia"/>
        </w:rPr>
        <w:t xml:space="preserve">   *pstNbrFlAmcInfo;</w:t>
      </w:r>
    </w:p>
    <w:p w14:paraId="78C7D49B">
      <w:pPr>
        <w:pStyle w:val="4"/>
      </w:pPr>
      <w:r>
        <w:rPr>
          <w:rFonts w:hint="eastAsia"/>
        </w:rPr>
        <w:t>}</w:t>
      </w:r>
    </w:p>
    <w:p w14:paraId="25344807">
      <w:pPr>
        <w:pStyle w:val="11"/>
      </w:pPr>
      <w:r>
        <w:rPr>
          <w:rFonts w:hint="eastAsia"/>
        </w:rPr>
        <w:t>收到HELLO的处理</w:t>
      </w:r>
    </w:p>
    <w:p w14:paraId="61BC08FC">
      <w:pPr>
        <w:pStyle w:val="4"/>
      </w:pPr>
      <w:r>
        <w:rPr>
          <w:rFonts w:hint="eastAsia"/>
        </w:rPr>
        <w:t>收到邻居卫星的HELLO后的处理流程如下图所示：</w:t>
      </w:r>
    </w:p>
    <w:p w14:paraId="05B1A097">
      <w:pPr>
        <w:pStyle w:val="72"/>
      </w:pPr>
      <w:r>
        <w:object>
          <v:shape id="_x0000_i1028" o:spt="75" type="#_x0000_t75" style="height:455.25pt;width:241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8">
            <o:LockedField>false</o:LockedField>
          </o:OLEObject>
        </w:object>
      </w:r>
    </w:p>
    <w:p w14:paraId="0A6A69B2">
      <w:pPr>
        <w:pStyle w:val="4"/>
      </w:pPr>
      <w:r>
        <w:rPr>
          <w:rFonts w:hint="eastAsia"/>
        </w:rPr>
        <w:t>当接收到邻居的HELLO消息时：</w:t>
      </w:r>
    </w:p>
    <w:p w14:paraId="2F6584EB">
      <w:pPr>
        <w:pStyle w:val="4"/>
        <w:numPr>
          <w:ilvl w:val="0"/>
          <w:numId w:val="13"/>
        </w:numPr>
      </w:pPr>
      <w:r>
        <w:rPr>
          <w:rFonts w:hint="eastAsia"/>
        </w:rPr>
        <w:t>如果不存在该邻居卫星的上下文，则为该邻居申请context，将usedFlag设置为true，将nbrSatId设置为邻居的卫星ID；否则，判断该邻居是否双向可达，如果双向可达，则重启双向可达定时器，否则执行2);</w:t>
      </w:r>
    </w:p>
    <w:p w14:paraId="64A8E823">
      <w:pPr>
        <w:pStyle w:val="4"/>
        <w:numPr>
          <w:ilvl w:val="0"/>
          <w:numId w:val="13"/>
        </w:numPr>
      </w:pPr>
      <w:r>
        <w:rPr>
          <w:rFonts w:hint="eastAsia"/>
        </w:rPr>
        <w:t>判断HELLO消息中是否包含自己，如果包含，则将twowayReachableFlag设置为true，同时启动定时器，同时通知ROUTER更新路由信息；否则结束。</w:t>
      </w:r>
    </w:p>
    <w:p w14:paraId="3EDE6C78">
      <w:pPr>
        <w:pStyle w:val="11"/>
      </w:pPr>
      <w:r>
        <w:rPr>
          <w:rFonts w:hint="eastAsia"/>
        </w:rPr>
        <w:t>双向邻居监测定时器超时</w:t>
      </w:r>
    </w:p>
    <w:p w14:paraId="75F404B1">
      <w:pPr>
        <w:pStyle w:val="4"/>
      </w:pPr>
      <w:r>
        <w:rPr>
          <w:rFonts w:hint="eastAsia"/>
        </w:rPr>
        <w:t>当双向邻居监测定时器超时，处理流程如下图所示：</w:t>
      </w:r>
    </w:p>
    <w:p w14:paraId="2D64F6FC">
      <w:pPr>
        <w:pStyle w:val="72"/>
      </w:pPr>
      <w:r>
        <w:object>
          <v:shape id="_x0000_i1029" o:spt="75" type="#_x0000_t75" style="height:205.5pt;width:123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f"/>
            <w10:wrap type="none"/>
            <w10:anchorlock/>
          </v:shape>
          <o:OLEObject Type="Embed" ProgID="Visio.Drawing.15" ShapeID="_x0000_i1029" DrawAspect="Content" ObjectID="_1468075729" r:id="rId20">
            <o:LockedField>false</o:LockedField>
          </o:OLEObject>
        </w:object>
      </w:r>
    </w:p>
    <w:p w14:paraId="1563DE9E">
      <w:pPr>
        <w:pStyle w:val="4"/>
      </w:pPr>
      <w:r>
        <w:rPr>
          <w:rFonts w:hint="eastAsia"/>
        </w:rPr>
        <w:t>L2S通知ROUTER移除该邻居，L2S删除该邻居相关信息。</w:t>
      </w:r>
    </w:p>
    <w:p w14:paraId="3360084D">
      <w:pPr>
        <w:pStyle w:val="11"/>
      </w:pPr>
      <w:r>
        <w:rPr>
          <w:rFonts w:hint="eastAsia"/>
        </w:rPr>
        <w:t>AMC信息维护</w:t>
      </w:r>
    </w:p>
    <w:p w14:paraId="062B2E98">
      <w:pPr>
        <w:pStyle w:val="4"/>
        <w:numPr>
          <w:ilvl w:val="0"/>
          <w:numId w:val="14"/>
        </w:numPr>
      </w:pPr>
      <w:r>
        <w:rPr>
          <w:rFonts w:hint="eastAsia"/>
        </w:rPr>
        <w:t>接收侧ACM（即邻接点ACM信息）</w:t>
      </w:r>
    </w:p>
    <w:p w14:paraId="41A72EAC">
      <w:pPr>
        <w:pStyle w:val="4"/>
      </w:pPr>
      <w:r>
        <w:t xml:space="preserve">struct </w:t>
      </w:r>
      <w:r>
        <w:rPr>
          <w:rFonts w:hint="eastAsia"/>
        </w:rPr>
        <w:t>NbrRlAmcInfo_s</w:t>
      </w:r>
    </w:p>
    <w:p w14:paraId="45B651D4">
      <w:pPr>
        <w:pStyle w:val="4"/>
      </w:pPr>
      <w:r>
        <w:rPr>
          <w:rFonts w:hint="eastAsia"/>
        </w:rPr>
        <w:t>{</w:t>
      </w:r>
    </w:p>
    <w:p w14:paraId="7E6E0795">
      <w:pPr>
        <w:pStyle w:val="4"/>
      </w:pPr>
      <w:r>
        <w:tab/>
      </w:r>
      <w:r>
        <w:rPr>
          <w:rFonts w:hint="eastAsia"/>
        </w:rPr>
        <w:t>float</w:t>
      </w:r>
      <w:r>
        <w:t xml:space="preserve"> </w:t>
      </w:r>
      <w:r>
        <w:rPr>
          <w:rFonts w:hint="eastAsia"/>
        </w:rPr>
        <w:t xml:space="preserve">    enN0LinearVal;</w:t>
      </w:r>
    </w:p>
    <w:p w14:paraId="5E25C99A">
      <w:pPr>
        <w:pStyle w:val="4"/>
      </w:pPr>
      <w:r>
        <w:rPr>
          <w:rFonts w:hint="eastAsia"/>
        </w:rPr>
        <w:t>}</w:t>
      </w:r>
    </w:p>
    <w:p w14:paraId="6AB3F721">
      <w:pPr>
        <w:pStyle w:val="4"/>
        <w:ind w:firstLine="420" w:firstLineChars="0"/>
      </w:pPr>
      <w:r>
        <w:rPr>
          <w:rFonts w:hint="eastAsia"/>
        </w:rPr>
        <w:t>当接收到PHY的测量上报，则按一定的规则（滤波）将PHY的测量上报值保存至本地，当周期定时器超时启动CNI/EsN0上报流程。</w:t>
      </w:r>
    </w:p>
    <w:p w14:paraId="151C9332">
      <w:pPr>
        <w:pStyle w:val="4"/>
        <w:numPr>
          <w:ilvl w:val="0"/>
          <w:numId w:val="14"/>
        </w:numPr>
      </w:pPr>
      <w:r>
        <w:rPr>
          <w:rFonts w:hint="eastAsia"/>
        </w:rPr>
        <w:t>发送侧ACM（本节点发送ACM信息）</w:t>
      </w:r>
    </w:p>
    <w:p w14:paraId="04478F5A">
      <w:pPr>
        <w:pStyle w:val="4"/>
      </w:pPr>
      <w:r>
        <w:t xml:space="preserve">struct </w:t>
      </w:r>
      <w:r>
        <w:rPr>
          <w:rFonts w:hint="eastAsia"/>
        </w:rPr>
        <w:t>NbrFlAmcInfo_s</w:t>
      </w:r>
    </w:p>
    <w:p w14:paraId="48532D49">
      <w:pPr>
        <w:pStyle w:val="4"/>
      </w:pPr>
      <w:r>
        <w:rPr>
          <w:rFonts w:hint="eastAsia"/>
        </w:rPr>
        <w:t>{</w:t>
      </w:r>
    </w:p>
    <w:p w14:paraId="39FD2F33">
      <w:pPr>
        <w:pStyle w:val="4"/>
      </w:pPr>
      <w:r>
        <w:tab/>
      </w:r>
      <w:r>
        <w:rPr>
          <w:rFonts w:hint="eastAsia"/>
        </w:rPr>
        <w:t>uint8_t</w:t>
      </w:r>
      <w:r>
        <w:rPr>
          <w:rFonts w:hint="eastAsia"/>
        </w:rPr>
        <w:tab/>
      </w:r>
      <w:r>
        <w:rPr>
          <w:rFonts w:hint="eastAsia"/>
        </w:rPr>
        <w:t xml:space="preserve">  currMcs;  // 当前使用的mcs</w:t>
      </w:r>
    </w:p>
    <w:p w14:paraId="41087DA9">
      <w:pPr>
        <w:pStyle w:val="4"/>
      </w:pPr>
      <w:r>
        <w:rPr>
          <w:rFonts w:hint="eastAsia"/>
        </w:rPr>
        <w:t>}</w:t>
      </w:r>
    </w:p>
    <w:p w14:paraId="7DC996D4">
      <w:pPr>
        <w:pStyle w:val="4"/>
      </w:pPr>
      <w:r>
        <w:rPr>
          <w:rFonts w:hint="eastAsia"/>
        </w:rPr>
        <w:t>当接收的邻居节点的CNI/EsN0，本节点查询CNI/EsN0与MCS关系表，查找对应的MCS，如果与当前使用的MCS不同，则通知FOWARD模块MCS发生变化，同时更新本地使用的MCS。</w:t>
      </w:r>
    </w:p>
    <w:p w14:paraId="39AC4C6F">
      <w:pPr>
        <w:pStyle w:val="5"/>
      </w:pPr>
      <w:bookmarkStart w:id="23" w:name="_Toc177115146"/>
      <w:r>
        <w:rPr>
          <w:rFonts w:hint="eastAsia"/>
        </w:rPr>
        <w:t>路由管理</w:t>
      </w:r>
      <w:bookmarkEnd w:id="23"/>
    </w:p>
    <w:p w14:paraId="21FD1D43">
      <w:pPr>
        <w:pStyle w:val="4"/>
      </w:pPr>
      <w:r>
        <w:rPr>
          <w:rFonts w:hint="eastAsia"/>
        </w:rPr>
        <w:t>路由管理模块维护信息如下所示：</w:t>
      </w:r>
    </w:p>
    <w:p w14:paraId="06584C24">
      <w:pPr>
        <w:pStyle w:val="4"/>
      </w:pPr>
      <w:r>
        <w:t xml:space="preserve">struct </w:t>
      </w:r>
      <w:r>
        <w:rPr>
          <w:rFonts w:hint="eastAsia"/>
        </w:rPr>
        <w:t>Router</w:t>
      </w:r>
      <w:r>
        <w:t>Info</w:t>
      </w:r>
      <w:r>
        <w:rPr>
          <w:rFonts w:hint="eastAsia"/>
        </w:rPr>
        <w:t>_s</w:t>
      </w:r>
    </w:p>
    <w:p w14:paraId="046DA86B">
      <w:pPr>
        <w:pStyle w:val="4"/>
      </w:pPr>
      <w:r>
        <w:rPr>
          <w:rFonts w:hint="eastAsia"/>
        </w:rPr>
        <w:t>{</w:t>
      </w:r>
    </w:p>
    <w:p w14:paraId="7DE2D235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my</w:t>
      </w:r>
      <w:r>
        <w:t>SatId;</w:t>
      </w:r>
    </w:p>
    <w:p w14:paraId="01A72415">
      <w:pPr>
        <w:pStyle w:val="4"/>
      </w:pPr>
      <w:r>
        <w:tab/>
      </w:r>
      <w:r>
        <w:rPr>
          <w:rFonts w:hint="eastAsia"/>
        </w:rPr>
        <w:t xml:space="preserve">bool 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 xml:space="preserve">  feedbackReachable</w:t>
      </w:r>
      <w:r>
        <w:t>;</w:t>
      </w:r>
    </w:p>
    <w:p w14:paraId="041FF19B">
      <w:pPr>
        <w:pStyle w:val="4"/>
      </w:pPr>
      <w:r>
        <w:tab/>
      </w:r>
      <w:r>
        <w:rPr>
          <w:rFonts w:hint="eastAsia"/>
        </w:rPr>
        <w:t xml:space="preserve">bool 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 xml:space="preserve">  vdesTerminalReachable</w:t>
      </w:r>
      <w:r>
        <w:t>;</w:t>
      </w:r>
    </w:p>
    <w:p w14:paraId="58846EB9">
      <w:pPr>
        <w:pStyle w:val="4"/>
      </w:pPr>
      <w:r>
        <w:tab/>
      </w:r>
      <w:r>
        <w:t>NbrInfo</w:t>
      </w:r>
      <w:r>
        <w:rPr>
          <w:rFonts w:hint="eastAsia"/>
        </w:rPr>
        <w:t>_s  myNbrInfo</w:t>
      </w:r>
      <w:r>
        <w:t>;</w:t>
      </w:r>
    </w:p>
    <w:p w14:paraId="6B988302">
      <w:pPr>
        <w:pStyle w:val="4"/>
      </w:pPr>
      <w:r>
        <w:tab/>
      </w:r>
      <w:r>
        <w:rPr>
          <w:rFonts w:hint="eastAsia"/>
        </w:rPr>
        <w:t>NetworkTopoInfo_s   stNetworkTopoInfo</w:t>
      </w:r>
      <w:r>
        <w:t>;</w:t>
      </w:r>
    </w:p>
    <w:p w14:paraId="54E6CF79">
      <w:pPr>
        <w:pStyle w:val="4"/>
      </w:pPr>
      <w:r>
        <w:rPr>
          <w:rFonts w:hint="eastAsia"/>
        </w:rPr>
        <w:t>}</w:t>
      </w:r>
    </w:p>
    <w:p w14:paraId="35B23697">
      <w:pPr>
        <w:pStyle w:val="7"/>
      </w:pPr>
      <w:bookmarkStart w:id="24" w:name="_Toc177115147"/>
      <w:r>
        <w:rPr>
          <w:rFonts w:hint="eastAsia"/>
        </w:rPr>
        <w:t>网络拓扑管理</w:t>
      </w:r>
      <w:bookmarkEnd w:id="24"/>
    </w:p>
    <w:p w14:paraId="10E50C56">
      <w:pPr>
        <w:pStyle w:val="4"/>
      </w:pPr>
      <w:r>
        <w:rPr>
          <w:rFonts w:hint="eastAsia"/>
        </w:rPr>
        <w:t>整网60个卫星，每个卫星的基站-卫星映射表由地面NCC按照弧段规划。NCC文件按照24小时周期上注到整网中的每个卫星。</w:t>
      </w:r>
    </w:p>
    <w:p w14:paraId="3E16EBAD">
      <w:pPr>
        <w:pStyle w:val="4"/>
      </w:pPr>
      <w:r>
        <w:rPr>
          <w:rFonts w:hint="eastAsia"/>
        </w:rPr>
        <w:t>通过基站-卫星映射表信息，能够得到的信息如下：</w:t>
      </w:r>
    </w:p>
    <w:p w14:paraId="105C1AAD">
      <w:pPr>
        <w:pStyle w:val="4"/>
      </w:pPr>
      <w:r>
        <w:rPr>
          <w:rFonts w:hint="eastAsia"/>
        </w:rPr>
        <w:t>1）整网中，连接信关站的卫星ID；</w:t>
      </w:r>
    </w:p>
    <w:p w14:paraId="3878159F">
      <w:pPr>
        <w:pStyle w:val="4"/>
      </w:pPr>
      <w:r>
        <w:rPr>
          <w:rFonts w:hint="eastAsia"/>
        </w:rPr>
        <w:t>2）当前卫星所处的轨道上，是否有连接信关站的卫星；</w:t>
      </w:r>
    </w:p>
    <w:p w14:paraId="71E24622">
      <w:pPr>
        <w:pStyle w:val="4"/>
      </w:pPr>
      <w:r>
        <w:rPr>
          <w:rFonts w:hint="eastAsia"/>
        </w:rPr>
        <w:t>网络拓扑信息主要有：</w:t>
      </w:r>
    </w:p>
    <w:p w14:paraId="10A96A3C">
      <w:pPr>
        <w:pStyle w:val="4"/>
      </w:pPr>
      <w:r>
        <w:t xml:space="preserve">struct </w:t>
      </w:r>
      <w:r>
        <w:rPr>
          <w:rFonts w:hint="eastAsia"/>
        </w:rPr>
        <w:t>NetworkTopoInfo_s</w:t>
      </w:r>
    </w:p>
    <w:p w14:paraId="4E5D3838">
      <w:pPr>
        <w:pStyle w:val="4"/>
      </w:pPr>
      <w:r>
        <w:rPr>
          <w:rFonts w:hint="eastAsia"/>
        </w:rPr>
        <w:t>{</w:t>
      </w:r>
    </w:p>
    <w:p w14:paraId="69428D90">
      <w:pPr>
        <w:pStyle w:val="4"/>
      </w:pPr>
      <w:r>
        <w:tab/>
      </w:r>
      <w:r>
        <w:t>Uint</w:t>
      </w:r>
      <w:r>
        <w:rPr>
          <w:rFonts w:hint="eastAsia"/>
        </w:rPr>
        <w:t>8</w:t>
      </w:r>
      <w:r>
        <w:t xml:space="preserve">_t </w:t>
      </w:r>
      <w:r>
        <w:rPr>
          <w:rFonts w:hint="eastAsia"/>
        </w:rPr>
        <w:t xml:space="preserve"> landedSatCnt</w:t>
      </w:r>
      <w:r>
        <w:t>;</w:t>
      </w:r>
    </w:p>
    <w:p w14:paraId="393DC99F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landedSatId[3]</w:t>
      </w:r>
      <w:r>
        <w:t>;</w:t>
      </w:r>
      <w:r>
        <w:rPr>
          <w:rFonts w:hint="eastAsia"/>
        </w:rPr>
        <w:t xml:space="preserve">  // 可以定义成宏值</w:t>
      </w:r>
    </w:p>
    <w:p w14:paraId="126C995A">
      <w:pPr>
        <w:pStyle w:val="4"/>
      </w:pPr>
      <w:r>
        <w:tab/>
      </w:r>
      <w:r>
        <w:t>Uint</w:t>
      </w:r>
      <w:r>
        <w:rPr>
          <w:rFonts w:hint="eastAsia"/>
        </w:rPr>
        <w:t>8</w:t>
      </w:r>
      <w:r>
        <w:t xml:space="preserve">_t </w:t>
      </w:r>
      <w:r>
        <w:rPr>
          <w:rFonts w:hint="eastAsia"/>
        </w:rPr>
        <w:t xml:space="preserve"> earthStationCnt</w:t>
      </w:r>
      <w:r>
        <w:t>;</w:t>
      </w:r>
    </w:p>
    <w:p w14:paraId="6B43DB33">
      <w:pPr>
        <w:pStyle w:val="4"/>
      </w:pPr>
      <w:r>
        <w:tab/>
      </w:r>
      <w:r>
        <w:rPr>
          <w:rFonts w:hint="eastAsia"/>
        </w:rPr>
        <w:t>NccBsSatTable_s stNccBsSatTable[10]</w:t>
      </w:r>
      <w:r>
        <w:t>;</w:t>
      </w:r>
      <w:r>
        <w:rPr>
          <w:rFonts w:hint="eastAsia"/>
        </w:rPr>
        <w:t xml:space="preserve"> // 可以定义成宏值</w:t>
      </w:r>
    </w:p>
    <w:p w14:paraId="253D14A3">
      <w:pPr>
        <w:pStyle w:val="4"/>
      </w:pPr>
      <w:r>
        <w:rPr>
          <w:rFonts w:hint="eastAsia"/>
        </w:rPr>
        <w:t>}</w:t>
      </w:r>
    </w:p>
    <w:p w14:paraId="334D7447">
      <w:pPr>
        <w:pStyle w:val="4"/>
      </w:pPr>
      <w:r>
        <w:rPr>
          <w:rFonts w:hint="eastAsia"/>
        </w:rPr>
        <w:t>该结构主要用来维护信关站与服务卫星及弧段关系：</w:t>
      </w:r>
    </w:p>
    <w:p w14:paraId="3D729113">
      <w:pPr>
        <w:pStyle w:val="4"/>
      </w:pPr>
      <w:r>
        <w:t>Struct</w:t>
      </w:r>
      <w:r>
        <w:rPr>
          <w:rFonts w:hint="eastAsia"/>
        </w:rPr>
        <w:t xml:space="preserve"> NccBsSatTable_s </w:t>
      </w:r>
    </w:p>
    <w:p w14:paraId="6F34521A">
      <w:pPr>
        <w:pStyle w:val="4"/>
      </w:pPr>
      <w:r>
        <w:rPr>
          <w:rFonts w:hint="eastAsia"/>
        </w:rPr>
        <w:t>{</w:t>
      </w:r>
    </w:p>
    <w:p w14:paraId="453EA53C">
      <w:pPr>
        <w:pStyle w:val="4"/>
      </w:pPr>
      <w:r>
        <w:tab/>
      </w:r>
      <w:r>
        <w:t>Uint</w:t>
      </w:r>
      <w:r>
        <w:rPr>
          <w:rFonts w:hint="eastAsia"/>
        </w:rPr>
        <w:t>8</w:t>
      </w:r>
      <w:r>
        <w:t xml:space="preserve">_t </w:t>
      </w:r>
      <w:r>
        <w:rPr>
          <w:rFonts w:hint="eastAsia"/>
        </w:rPr>
        <w:t xml:space="preserve"> earthStationId</w:t>
      </w:r>
      <w:r>
        <w:t>;</w:t>
      </w:r>
    </w:p>
    <w:p w14:paraId="0F55B6F5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feederArcCnt</w:t>
      </w:r>
      <w:r>
        <w:t>;</w:t>
      </w:r>
    </w:p>
    <w:p w14:paraId="66588568">
      <w:pPr>
        <w:pStyle w:val="4"/>
      </w:pPr>
      <w:r>
        <w:tab/>
      </w:r>
      <w:r>
        <w:rPr>
          <w:rFonts w:hint="eastAsia"/>
        </w:rPr>
        <w:t>FeederArcData_s</w:t>
      </w:r>
      <w:r>
        <w:t xml:space="preserve"> </w:t>
      </w:r>
      <w:r>
        <w:rPr>
          <w:rFonts w:hint="eastAsia"/>
        </w:rPr>
        <w:t xml:space="preserve"> stFeederArcData</w:t>
      </w:r>
      <w:r>
        <w:t>;</w:t>
      </w:r>
    </w:p>
    <w:p w14:paraId="6D02CDA8">
      <w:pPr>
        <w:pStyle w:val="4"/>
      </w:pPr>
      <w:r>
        <w:rPr>
          <w:rFonts w:hint="eastAsia"/>
        </w:rPr>
        <w:t>}</w:t>
      </w:r>
    </w:p>
    <w:p w14:paraId="1F988EEF">
      <w:pPr>
        <w:pStyle w:val="4"/>
      </w:pPr>
      <w:r>
        <w:t>Struct</w:t>
      </w:r>
      <w:r>
        <w:rPr>
          <w:rFonts w:hint="eastAsia"/>
        </w:rPr>
        <w:t xml:space="preserve"> FeederArcData_s </w:t>
      </w:r>
    </w:p>
    <w:p w14:paraId="3AB025B1">
      <w:pPr>
        <w:pStyle w:val="4"/>
      </w:pPr>
      <w:r>
        <w:rPr>
          <w:rFonts w:hint="eastAsia"/>
        </w:rPr>
        <w:t>{</w:t>
      </w:r>
    </w:p>
    <w:p w14:paraId="12A2B9FD">
      <w:pPr>
        <w:pStyle w:val="4"/>
      </w:pPr>
      <w:r>
        <w:tab/>
      </w:r>
      <w:r>
        <w:rPr>
          <w:rFonts w:hint="eastAsia"/>
        </w:rPr>
        <w:t>u</w:t>
      </w:r>
      <w:r>
        <w:t>int</w:t>
      </w:r>
      <w:r>
        <w:rPr>
          <w:rFonts w:hint="eastAsia"/>
        </w:rPr>
        <w:t>16</w:t>
      </w:r>
      <w:r>
        <w:t xml:space="preserve">_t </w:t>
      </w:r>
      <w:r>
        <w:rPr>
          <w:rFonts w:hint="eastAsia"/>
        </w:rPr>
        <w:t xml:space="preserve"> satId</w:t>
      </w:r>
      <w:r>
        <w:t>;</w:t>
      </w:r>
    </w:p>
    <w:p w14:paraId="07C5EBB7">
      <w:pPr>
        <w:pStyle w:val="4"/>
      </w:pPr>
      <w:r>
        <w:tab/>
      </w:r>
      <w:r>
        <w:t>Uint</w:t>
      </w:r>
      <w:r>
        <w:rPr>
          <w:rFonts w:hint="eastAsia"/>
        </w:rPr>
        <w:t>32</w:t>
      </w:r>
      <w:r>
        <w:t xml:space="preserve">_t </w:t>
      </w:r>
      <w:r>
        <w:rPr>
          <w:rFonts w:hint="eastAsia"/>
        </w:rPr>
        <w:t xml:space="preserve"> arcStartTime</w:t>
      </w:r>
      <w:r>
        <w:t>;</w:t>
      </w:r>
    </w:p>
    <w:p w14:paraId="4EF085ED">
      <w:pPr>
        <w:pStyle w:val="4"/>
      </w:pPr>
      <w:r>
        <w:tab/>
      </w:r>
      <w:r>
        <w:rPr>
          <w:rFonts w:hint="eastAsia"/>
        </w:rPr>
        <w:t>Uint32_t</w:t>
      </w:r>
      <w:r>
        <w:t xml:space="preserve"> </w:t>
      </w:r>
      <w:r>
        <w:rPr>
          <w:rFonts w:hint="eastAsia"/>
        </w:rPr>
        <w:t xml:space="preserve"> arcDuration</w:t>
      </w:r>
      <w:r>
        <w:t>;</w:t>
      </w:r>
    </w:p>
    <w:p w14:paraId="7C4EA2A5">
      <w:pPr>
        <w:pStyle w:val="4"/>
      </w:pPr>
      <w:r>
        <w:rPr>
          <w:rFonts w:hint="eastAsia"/>
        </w:rPr>
        <w:t>}</w:t>
      </w:r>
    </w:p>
    <w:p w14:paraId="6FC29411">
      <w:pPr>
        <w:pStyle w:val="4"/>
      </w:pPr>
      <w:r>
        <w:rPr>
          <w:rFonts w:hint="eastAsia"/>
        </w:rPr>
        <w:t>路由模块周期性（1s）的根据stNccBsSatTable，查询可落地卫星，查找到可落地卫星存放至NetworkTopoInfo中的landedSatId[3]并记录可落地卫星数量。</w:t>
      </w:r>
    </w:p>
    <w:p w14:paraId="16B74165">
      <w:pPr>
        <w:pStyle w:val="7"/>
      </w:pPr>
      <w:bookmarkStart w:id="25" w:name="_Toc177115148"/>
      <w:r>
        <w:rPr>
          <w:rFonts w:hint="eastAsia"/>
        </w:rPr>
        <w:t>半静态路由管理</w:t>
      </w:r>
      <w:bookmarkEnd w:id="25"/>
    </w:p>
    <w:p w14:paraId="0F5484DB">
      <w:pPr>
        <w:pStyle w:val="9"/>
      </w:pPr>
      <w:r>
        <w:rPr>
          <w:rFonts w:hint="eastAsia"/>
        </w:rPr>
        <w:t>路由表维护</w:t>
      </w:r>
    </w:p>
    <w:p w14:paraId="38796BC6">
      <w:pPr>
        <w:pStyle w:val="4"/>
      </w:pPr>
      <w:r>
        <w:rPr>
          <w:rFonts w:hint="eastAsia"/>
        </w:rPr>
        <w:t>每颗卫星维护与周围4颗邻居卫星的可达情况，结构体如下：</w:t>
      </w:r>
    </w:p>
    <w:p w14:paraId="252856D6">
      <w:pPr>
        <w:pStyle w:val="4"/>
      </w:pPr>
      <w:r>
        <w:t>struct NbrInfo</w:t>
      </w:r>
      <w:r>
        <w:rPr>
          <w:rFonts w:hint="eastAsia"/>
        </w:rPr>
        <w:t>_s</w:t>
      </w:r>
    </w:p>
    <w:p w14:paraId="1798034C">
      <w:pPr>
        <w:pStyle w:val="4"/>
      </w:pPr>
      <w:r>
        <w:t>{</w:t>
      </w:r>
    </w:p>
    <w:p w14:paraId="3DC32CE3">
      <w:pPr>
        <w:pStyle w:val="4"/>
      </w:pPr>
      <w:r>
        <w:tab/>
      </w:r>
      <w:r>
        <w:rPr>
          <w:rFonts w:hint="eastAsia"/>
        </w:rPr>
        <w:t>bool</w:t>
      </w:r>
      <w:r>
        <w:t xml:space="preserve"> </w:t>
      </w:r>
      <w:r>
        <w:rPr>
          <w:rFonts w:hint="eastAsia"/>
        </w:rPr>
        <w:t xml:space="preserve">    usedFlag;</w:t>
      </w:r>
    </w:p>
    <w:p w14:paraId="039DD5BD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</w:t>
      </w:r>
      <w:r>
        <w:t>nbrSatId;</w:t>
      </w:r>
    </w:p>
    <w:p w14:paraId="591D5BE5">
      <w:pPr>
        <w:pStyle w:val="4"/>
      </w:pPr>
      <w:r>
        <w:tab/>
      </w:r>
      <w:r>
        <w:t xml:space="preserve">portId_t </w:t>
      </w:r>
      <w:r>
        <w:rPr>
          <w:rFonts w:hint="eastAsia"/>
        </w:rPr>
        <w:t xml:space="preserve"> </w:t>
      </w:r>
      <w:r>
        <w:t>portId;</w:t>
      </w:r>
    </w:p>
    <w:p w14:paraId="565B4EC9">
      <w:pPr>
        <w:pStyle w:val="4"/>
      </w:pPr>
      <w:r>
        <w:tab/>
      </w:r>
      <w:r>
        <w:rPr>
          <w:rFonts w:hint="eastAsia"/>
        </w:rPr>
        <w:t>Uint6_t</w:t>
      </w:r>
      <w:r>
        <w:t xml:space="preserve"> </w:t>
      </w:r>
      <w:r>
        <w:rPr>
          <w:rFonts w:hint="eastAsia"/>
        </w:rPr>
        <w:t xml:space="preserve"> </w:t>
      </w:r>
      <w:r>
        <w:rPr>
          <w:rFonts w:cs="Times New Roman"/>
          <w:szCs w:val="24"/>
        </w:rPr>
        <w:t>metric</w:t>
      </w:r>
      <w:r>
        <w:t>;</w:t>
      </w:r>
    </w:p>
    <w:p w14:paraId="07EA52C2">
      <w:pPr>
        <w:pStyle w:val="4"/>
      </w:pPr>
      <w:r>
        <w:t>}</w:t>
      </w:r>
    </w:p>
    <w:p w14:paraId="437598DE">
      <w:pPr>
        <w:pStyle w:val="4"/>
      </w:pPr>
      <w:r>
        <w:rPr>
          <w:rFonts w:hint="eastAsia"/>
        </w:rPr>
        <w:t>主要维护邻居双向可达邻居卫星ID及路径开销。收到L2S路由更新或路由移除消息后，更新邻居信息。</w:t>
      </w:r>
    </w:p>
    <w:p w14:paraId="117665ED">
      <w:pPr>
        <w:pStyle w:val="4"/>
      </w:pPr>
      <w:r>
        <w:rPr>
          <w:rFonts w:hint="eastAsia"/>
        </w:rPr>
        <w:t>路由表信息如下：</w:t>
      </w:r>
    </w:p>
    <w:p w14:paraId="0630F072">
      <w:pPr>
        <w:pStyle w:val="4"/>
      </w:pPr>
      <w:r>
        <w:t xml:space="preserve">struct </w:t>
      </w:r>
      <w:r>
        <w:rPr>
          <w:rFonts w:hint="eastAsia"/>
        </w:rPr>
        <w:t>RouteTable_s</w:t>
      </w:r>
    </w:p>
    <w:p w14:paraId="1E84F37F">
      <w:pPr>
        <w:pStyle w:val="4"/>
      </w:pPr>
      <w:r>
        <w:t>{</w:t>
      </w:r>
    </w:p>
    <w:p w14:paraId="6D7E1DCF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dest</w:t>
      </w:r>
      <w:r>
        <w:t>SatId;</w:t>
      </w:r>
    </w:p>
    <w:p w14:paraId="1A4A83C4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nextHop</w:t>
      </w:r>
      <w:r>
        <w:t>SatId;</w:t>
      </w:r>
    </w:p>
    <w:p w14:paraId="37ADA988">
      <w:pPr>
        <w:pStyle w:val="4"/>
      </w:pPr>
      <w:r>
        <w:tab/>
      </w:r>
      <w:r>
        <w:t xml:space="preserve">portId_t </w:t>
      </w:r>
      <w:r>
        <w:rPr>
          <w:rFonts w:hint="eastAsia"/>
        </w:rPr>
        <w:t xml:space="preserve"> </w:t>
      </w:r>
      <w:r>
        <w:t>portId;</w:t>
      </w:r>
    </w:p>
    <w:p w14:paraId="1C4D8A25">
      <w:pPr>
        <w:pStyle w:val="4"/>
      </w:pPr>
      <w:r>
        <w:tab/>
      </w:r>
      <w:r>
        <w:rPr>
          <w:rFonts w:hint="eastAsia"/>
        </w:rPr>
        <w:t>uint8_t</w:t>
      </w:r>
      <w:r>
        <w:t xml:space="preserve"> </w:t>
      </w:r>
      <w:r>
        <w:rPr>
          <w:rFonts w:hint="eastAsia"/>
        </w:rPr>
        <w:t xml:space="preserve">  </w:t>
      </w:r>
      <w:r>
        <w:rPr>
          <w:rFonts w:hint="eastAsia" w:cs="Times New Roman"/>
          <w:szCs w:val="24"/>
        </w:rPr>
        <w:t>mcs</w:t>
      </w:r>
      <w:r>
        <w:t>;</w:t>
      </w:r>
    </w:p>
    <w:p w14:paraId="65B968B5">
      <w:pPr>
        <w:pStyle w:val="4"/>
      </w:pPr>
      <w:r>
        <w:t>}</w:t>
      </w:r>
    </w:p>
    <w:p w14:paraId="14F2DB99">
      <w:pPr>
        <w:pStyle w:val="9"/>
      </w:pPr>
      <w:r>
        <w:rPr>
          <w:rFonts w:hint="eastAsia"/>
        </w:rPr>
        <w:t>路由选择策略</w:t>
      </w:r>
    </w:p>
    <w:p w14:paraId="43DF2904">
      <w:pPr>
        <w:pStyle w:val="4"/>
      </w:pPr>
      <w:r>
        <w:rPr>
          <w:rFonts w:hint="eastAsia"/>
        </w:rPr>
        <w:t>接收到来自数据链路层的数据报文通知消息后，判断自己是否能落地，如果能，如果目的地是VDES端机，且VDES端机接入本星，则返回本星ID及对应的VDES端机对应的端口；如果目的地是信关站，且本星与信关站的馈电链路正常，则返回本星ID及对应馈电模块端口；否则如下规则进行路由选择。</w:t>
      </w:r>
    </w:p>
    <w:p w14:paraId="63354D47">
      <w:pPr>
        <w:pStyle w:val="4"/>
      </w:pPr>
      <w:r>
        <w:rPr>
          <w:rFonts w:hint="eastAsia"/>
        </w:rPr>
        <w:t>半静态路由机制下，路由策略遵循：</w:t>
      </w:r>
    </w:p>
    <w:p w14:paraId="0EE279EF">
      <w:pPr>
        <w:pStyle w:val="4"/>
      </w:pPr>
      <w:r>
        <w:rPr>
          <w:rFonts w:hint="eastAsia"/>
        </w:rPr>
        <w:t>1）同轨有落地卫星，仅在同轨进行转发；</w:t>
      </w:r>
    </w:p>
    <w:p w14:paraId="216C70D6">
      <w:pPr>
        <w:pStyle w:val="4"/>
      </w:pPr>
      <w:r>
        <w:rPr>
          <w:rFonts w:hint="eastAsia"/>
        </w:rPr>
        <w:t>2）当前轨道无落地卫星，优先异轨，直至路由至有落地卫星的轨道，然后再按1）执行；</w:t>
      </w:r>
    </w:p>
    <w:p w14:paraId="58317F42">
      <w:pPr>
        <w:pStyle w:val="4"/>
        <w:rPr>
          <w:rFonts w:cstheme="majorBidi"/>
          <w:bCs/>
          <w:szCs w:val="32"/>
        </w:rPr>
      </w:pPr>
      <w:r>
        <w:rPr>
          <w:rFonts w:hint="eastAsia"/>
        </w:rPr>
        <w:t>3）</w:t>
      </w:r>
      <w:r>
        <w:rPr>
          <w:rFonts w:hint="eastAsia" w:cstheme="majorBidi"/>
          <w:bCs/>
          <w:szCs w:val="32"/>
        </w:rPr>
        <w:t>卫星的ID按照轨道号+相位号规划，例如：S0101、S0102、S0201、S0202、S0501、S0502...；</w:t>
      </w:r>
    </w:p>
    <w:p w14:paraId="7DEBE5AF">
      <w:pPr>
        <w:pStyle w:val="4"/>
        <w:rPr>
          <w:rFonts w:cstheme="majorBidi"/>
          <w:bCs/>
          <w:szCs w:val="32"/>
        </w:rPr>
      </w:pPr>
      <w:r>
        <w:rPr>
          <w:rFonts w:hint="eastAsia" w:cstheme="majorBidi"/>
          <w:bCs/>
          <w:szCs w:val="32"/>
        </w:rPr>
        <w:t>路由选择流程如下所示：</w:t>
      </w:r>
    </w:p>
    <w:p w14:paraId="5DD75B31">
      <w:pPr>
        <w:pStyle w:val="72"/>
      </w:pPr>
      <w:r>
        <w:object>
          <v:shape id="_x0000_i1030" o:spt="75" type="#_x0000_t75" style="height:179.25pt;width:216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f"/>
            <w10:wrap type="none"/>
            <w10:anchorlock/>
          </v:shape>
          <o:OLEObject Type="Embed" ProgID="Visio.Drawing.15" ShapeID="_x0000_i1030" DrawAspect="Content" ObjectID="_1468075730" r:id="rId22">
            <o:LockedField>false</o:LockedField>
          </o:OLEObject>
        </w:object>
      </w:r>
    </w:p>
    <w:p w14:paraId="29D240F1">
      <w:pPr>
        <w:pStyle w:val="11"/>
      </w:pPr>
      <w:r>
        <w:rPr>
          <w:rFonts w:hint="eastAsia"/>
        </w:rPr>
        <w:t>同轨有卫星连接信关站</w:t>
      </w:r>
    </w:p>
    <w:p w14:paraId="021224BD">
      <w:pPr>
        <w:pStyle w:val="72"/>
      </w:pPr>
      <w:r>
        <w:object>
          <v:shape id="_x0000_i1031" o:spt="75" type="#_x0000_t75" style="height:240.75pt;width:414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f"/>
            <w10:wrap type="none"/>
            <w10:anchorlock/>
          </v:shape>
          <o:OLEObject Type="Embed" ProgID="Visio.Drawing.15" ShapeID="_x0000_i1031" DrawAspect="Content" ObjectID="_1468075731" r:id="rId24">
            <o:LockedField>false</o:LockedField>
          </o:OLEObject>
        </w:object>
      </w:r>
    </w:p>
    <w:p w14:paraId="0D180935">
      <w:pPr>
        <w:pStyle w:val="4"/>
      </w:pPr>
      <w:r>
        <w:rPr>
          <w:rFonts w:hint="eastAsia"/>
        </w:rPr>
        <w:t>1）根据网络拓扑，查询到同轨中连接信关站的卫星ID；</w:t>
      </w:r>
    </w:p>
    <w:p w14:paraId="6E25DF9D">
      <w:pPr>
        <w:pStyle w:val="4"/>
      </w:pPr>
      <w:r>
        <w:rPr>
          <w:rFonts w:hint="eastAsia"/>
        </w:rPr>
        <w:t>2）通过卫星编号ID，判断出到信关站连接卫星最短路径；</w:t>
      </w:r>
    </w:p>
    <w:p w14:paraId="3E00850F">
      <w:pPr>
        <w:pStyle w:val="4"/>
      </w:pPr>
      <w:r>
        <w:rPr>
          <w:rFonts w:hint="eastAsia"/>
        </w:rPr>
        <w:t>3）查询路由表，如果与离信关站最近的下一颗卫星链路可达，则将数据递交给下一颗卫星；如果与离信关站最近的下一颗卫星链路不可达，则返回，选择第二条路径；</w:t>
      </w:r>
    </w:p>
    <w:p w14:paraId="34FD64E5">
      <w:pPr>
        <w:pStyle w:val="72"/>
      </w:pPr>
      <w:r>
        <w:object>
          <v:shape id="_x0000_i1032" o:spt="75" type="#_x0000_t75" style="height:487.5pt;width:425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f"/>
            <w10:wrap type="none"/>
            <w10:anchorlock/>
          </v:shape>
          <o:OLEObject Type="Embed" ProgID="Visio.Drawing.15" ShapeID="_x0000_i1032" DrawAspect="Content" ObjectID="_1468075732" r:id="rId26">
            <o:LockedField>false</o:LockedField>
          </o:OLEObject>
        </w:object>
      </w:r>
    </w:p>
    <w:p w14:paraId="781473DD">
      <w:pPr>
        <w:pStyle w:val="11"/>
      </w:pPr>
      <w:r>
        <w:rPr>
          <w:rFonts w:hint="eastAsia"/>
        </w:rPr>
        <w:t>同轨没有卫星连接信关站</w:t>
      </w:r>
    </w:p>
    <w:p w14:paraId="43ADDAD9">
      <w:pPr>
        <w:pStyle w:val="4"/>
      </w:pPr>
      <w:r>
        <w:rPr>
          <w:rFonts w:hint="eastAsia"/>
        </w:rPr>
        <w:t>同轨没有卫星连接信关站，则按异轨路由选择算法进行路由选择。异轨按照靠近目的卫星所在轨道的卫星优先（由于异轨稳定性小于同轨，能用则用），如果该链路不可达，则按同轨不回环卫星优先，如果该链路不可达，则按同轨回环卫星优先，如果该链路不可达，则选择远离目的卫星所在轨道方向的卫星，如果该链路不可达，则暂时存储该数据。</w:t>
      </w:r>
    </w:p>
    <w:p w14:paraId="7FB19085">
      <w:pPr>
        <w:pStyle w:val="72"/>
      </w:pPr>
      <w:r>
        <w:object>
          <v:shape id="_x0000_i1033" o:spt="75" type="#_x0000_t75" style="height:274.5pt;width:414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f"/>
            <w10:wrap type="none"/>
            <w10:anchorlock/>
          </v:shape>
          <o:OLEObject Type="Embed" ProgID="Visio.Drawing.15" ShapeID="_x0000_i1033" DrawAspect="Content" ObjectID="_1468075733" r:id="rId28">
            <o:LockedField>false</o:LockedField>
          </o:OLEObject>
        </w:object>
      </w:r>
    </w:p>
    <w:p w14:paraId="5A02286A">
      <w:pPr>
        <w:pStyle w:val="4"/>
        <w:numPr>
          <w:ilvl w:val="0"/>
          <w:numId w:val="15"/>
        </w:numPr>
      </w:pPr>
      <w:r>
        <w:rPr>
          <w:rFonts w:hint="eastAsia"/>
        </w:rPr>
        <w:t>根据网络拓扑，查询到同轨无落地卫星，确定落地卫星处于哪一轨道；</w:t>
      </w:r>
    </w:p>
    <w:p w14:paraId="1FD54C24">
      <w:pPr>
        <w:pStyle w:val="4"/>
        <w:numPr>
          <w:ilvl w:val="0"/>
          <w:numId w:val="15"/>
        </w:numPr>
      </w:pPr>
      <w:r>
        <w:rPr>
          <w:rFonts w:hint="eastAsia"/>
        </w:rPr>
        <w:t>根据卫星所处轨道，获取与落地轨道最近的下一轨道的邻居卫星；</w:t>
      </w:r>
    </w:p>
    <w:p w14:paraId="54D6CE8E">
      <w:pPr>
        <w:pStyle w:val="4"/>
        <w:numPr>
          <w:ilvl w:val="0"/>
          <w:numId w:val="15"/>
        </w:numPr>
      </w:pPr>
      <w:r>
        <w:rPr>
          <w:rFonts w:hint="eastAsia"/>
        </w:rPr>
        <w:t>查询路由表，如果与该邻居卫星链路可达，则将数据递交至该邻居卫星；否则，获取与落地轨道卫星最近的当前轨道的下一颗卫星；</w:t>
      </w:r>
    </w:p>
    <w:p w14:paraId="4FBEF062">
      <w:pPr>
        <w:pStyle w:val="4"/>
        <w:numPr>
          <w:ilvl w:val="0"/>
          <w:numId w:val="15"/>
        </w:numPr>
      </w:pPr>
      <w:r>
        <w:rPr>
          <w:rFonts w:hint="eastAsia"/>
        </w:rPr>
        <w:t>查询路由表，如果与该邻居卫星可达，则将数据递交至该邻居卫星；否则，获取当前轨道的另一个邻居卫星；</w:t>
      </w:r>
    </w:p>
    <w:p w14:paraId="6B18AE6C">
      <w:pPr>
        <w:pStyle w:val="4"/>
        <w:numPr>
          <w:ilvl w:val="0"/>
          <w:numId w:val="15"/>
        </w:numPr>
      </w:pPr>
      <w:r>
        <w:rPr>
          <w:rFonts w:hint="eastAsia"/>
        </w:rPr>
        <w:t>查询路由表，如果与该邻居卫星可达，则将数据递交至该邻居卫星；否则，获取相邻轨道的另一个颗卫星；</w:t>
      </w:r>
    </w:p>
    <w:p w14:paraId="2CE868BC">
      <w:pPr>
        <w:pStyle w:val="4"/>
      </w:pPr>
      <w:r>
        <w:rPr>
          <w:rFonts w:hint="eastAsia"/>
        </w:rPr>
        <w:t>查询路由表，如果与该邻居卫星可达，则将数据递交至该邻居卫星，否则，将数据暂存至本星。</w:t>
      </w:r>
    </w:p>
    <w:p w14:paraId="6B06C5BE">
      <w:pPr>
        <w:pStyle w:val="72"/>
      </w:pPr>
      <w:r>
        <w:rPr>
          <w:rFonts w:hint="eastAsia"/>
        </w:rPr>
        <w:object>
          <v:shape id="_x0000_i1034" o:spt="75" type="#_x0000_t75" style="height:699.75pt;width:356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f"/>
            <w10:wrap type="none"/>
            <w10:anchorlock/>
          </v:shape>
          <o:OLEObject Type="Embed" ProgID="Visio.Drawing.15" ShapeID="_x0000_i1034" DrawAspect="Content" ObjectID="_1468075734" r:id="rId30">
            <o:LockedField>false</o:LockedField>
          </o:OLEObject>
        </w:object>
      </w:r>
    </w:p>
    <w:p w14:paraId="7DDCF4DE">
      <w:pPr>
        <w:pStyle w:val="7"/>
      </w:pPr>
      <w:bookmarkStart w:id="26" w:name="_Toc177115149"/>
      <w:r>
        <w:rPr>
          <w:rFonts w:hint="eastAsia"/>
        </w:rPr>
        <w:t>动态路由管理</w:t>
      </w:r>
      <w:bookmarkEnd w:id="26"/>
    </w:p>
    <w:p w14:paraId="20AAE9C1">
      <w:pPr>
        <w:pStyle w:val="9"/>
      </w:pPr>
      <w:r>
        <w:rPr>
          <w:rFonts w:hint="eastAsia"/>
        </w:rPr>
        <w:t>路由表维护</w:t>
      </w:r>
    </w:p>
    <w:p w14:paraId="57D64364">
      <w:pPr>
        <w:pStyle w:val="72"/>
      </w:pPr>
      <w:r>
        <w:rPr>
          <w:rFonts w:hint="eastAsia"/>
        </w:rPr>
        <w:object>
          <v:shape id="_x0000_i1035" o:spt="75" type="#_x0000_t75" style="height:194.25pt;width:25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f"/>
            <w10:wrap type="none"/>
            <w10:anchorlock/>
          </v:shape>
          <o:OLEObject Type="Embed" ProgID="Visio.Drawing.15" ShapeID="_x0000_i1035" DrawAspect="Content" ObjectID="_1468075735" r:id="rId32">
            <o:LockedField>false</o:LockedField>
          </o:OLEObject>
        </w:object>
      </w:r>
    </w:p>
    <w:p w14:paraId="51E42899">
      <w:pPr>
        <w:pStyle w:val="4"/>
      </w:pPr>
      <w:r>
        <w:rPr>
          <w:rFonts w:hint="eastAsia"/>
        </w:rPr>
        <w:t>当ROUTER收到L2S的L2S_ROUTER_NBR_UPDATE_IND或L2S_ROUTER_NBR_REMOVE_IND时，更新本地拓扑表，然后利用最短路径算法计算当前节点到其他节点的最短路径。</w:t>
      </w:r>
    </w:p>
    <w:p w14:paraId="38F6442F">
      <w:pPr>
        <w:pStyle w:val="4"/>
      </w:pPr>
      <w:r>
        <w:rPr>
          <w:rFonts w:hint="eastAsia"/>
        </w:rPr>
        <w:t>拓扑表数据结构如下：</w:t>
      </w:r>
    </w:p>
    <w:p w14:paraId="5AA2874E">
      <w:pPr>
        <w:pStyle w:val="4"/>
      </w:pPr>
      <w:r>
        <w:t xml:space="preserve">struct </w:t>
      </w:r>
      <w:r>
        <w:rPr>
          <w:rFonts w:hint="eastAsia"/>
        </w:rPr>
        <w:t>Topo</w:t>
      </w:r>
      <w:r>
        <w:t>Info</w:t>
      </w:r>
      <w:r>
        <w:rPr>
          <w:rFonts w:hint="eastAsia"/>
        </w:rPr>
        <w:t>_s</w:t>
      </w:r>
    </w:p>
    <w:p w14:paraId="282D9913">
      <w:pPr>
        <w:pStyle w:val="4"/>
      </w:pPr>
      <w:r>
        <w:t>{</w:t>
      </w:r>
    </w:p>
    <w:p w14:paraId="78562A4B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src</w:t>
      </w:r>
      <w:r>
        <w:t>SatId;</w:t>
      </w:r>
    </w:p>
    <w:p w14:paraId="1CA16886">
      <w:pPr>
        <w:pStyle w:val="4"/>
      </w:pPr>
      <w:r>
        <w:tab/>
      </w:r>
      <w:r>
        <w:t>NbrInfo</w:t>
      </w:r>
      <w:r>
        <w:rPr>
          <w:rFonts w:hint="eastAsia"/>
        </w:rPr>
        <w:t>_s stNbrInfo[4]</w:t>
      </w:r>
    </w:p>
    <w:p w14:paraId="77339818">
      <w:pPr>
        <w:pStyle w:val="4"/>
      </w:pPr>
      <w:r>
        <w:t>}</w:t>
      </w:r>
    </w:p>
    <w:p w14:paraId="115ED27F">
      <w:pPr>
        <w:pStyle w:val="4"/>
      </w:pPr>
      <w:r>
        <w:rPr>
          <w:rFonts w:hint="eastAsia"/>
        </w:rPr>
        <w:t>Topo</w:t>
      </w:r>
      <w:r>
        <w:t>Info</w:t>
      </w:r>
      <w:r>
        <w:rPr>
          <w:rFonts w:hint="eastAsia"/>
        </w:rPr>
        <w:t xml:space="preserve">_s </w:t>
      </w:r>
      <w:r>
        <w:rPr>
          <w:rFonts w:hint="eastAsia"/>
        </w:rPr>
        <w:tab/>
      </w:r>
      <w:r>
        <w:rPr>
          <w:rFonts w:hint="eastAsia"/>
        </w:rPr>
        <w:t>stTopoInfo[60];</w:t>
      </w:r>
    </w:p>
    <w:p w14:paraId="7DBE1CB0">
      <w:pPr>
        <w:pStyle w:val="4"/>
      </w:pPr>
      <w:r>
        <w:rPr>
          <w:rFonts w:hint="eastAsia"/>
        </w:rPr>
        <w:t>当落地卫星发生变化时，ROUTER重新计算路由表，并更将原可落地卫星路由信息更新为新可落地卫星的路由信息。</w:t>
      </w:r>
    </w:p>
    <w:p w14:paraId="015F81E1">
      <w:pPr>
        <w:pStyle w:val="9"/>
      </w:pPr>
      <w:r>
        <w:rPr>
          <w:rFonts w:hint="eastAsia"/>
        </w:rPr>
        <w:t>路由选择算法</w:t>
      </w:r>
    </w:p>
    <w:p w14:paraId="4806449E">
      <w:pPr>
        <w:pStyle w:val="72"/>
        <w:ind w:firstLine="420"/>
        <w:jc w:val="both"/>
      </w:pPr>
      <w:r>
        <w:rPr>
          <w:rFonts w:hint="eastAsia"/>
        </w:rPr>
        <w:t>SPF算法，dijkstra算法或基于权值的dijkstra算法。</w:t>
      </w:r>
    </w:p>
    <w:p w14:paraId="33833DDD">
      <w:pPr>
        <w:pStyle w:val="5"/>
      </w:pPr>
      <w:bookmarkStart w:id="27" w:name="_Toc177115150"/>
      <w:r>
        <w:rPr>
          <w:rFonts w:hint="eastAsia"/>
        </w:rPr>
        <w:t>数据转发</w:t>
      </w:r>
      <w:bookmarkEnd w:id="27"/>
    </w:p>
    <w:p w14:paraId="4CE90BC5">
      <w:pPr>
        <w:pStyle w:val="7"/>
      </w:pPr>
      <w:bookmarkStart w:id="28" w:name="_Toc177115151"/>
      <w:r>
        <w:rPr>
          <w:rFonts w:hint="eastAsia"/>
        </w:rPr>
        <w:t>信令报文接收</w:t>
      </w:r>
      <w:bookmarkEnd w:id="28"/>
    </w:p>
    <w:p w14:paraId="23755F28">
      <w:pPr>
        <w:pStyle w:val="4"/>
      </w:pPr>
      <w:r>
        <w:rPr>
          <w:rFonts w:hint="eastAsia"/>
        </w:rPr>
        <w:t>接收到来自数据链路层的信令报文，根据dstSatId判断是否是发送给本星的信令，如果不是，则丢弃；如果是，则递交给信令流程进行处理。</w:t>
      </w:r>
    </w:p>
    <w:p w14:paraId="68D04C28">
      <w:pPr>
        <w:pStyle w:val="72"/>
      </w:pPr>
      <w:r>
        <w:object>
          <v:shape id="_x0000_i1036" o:spt="75" type="#_x0000_t75" style="height:237pt;width:377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f"/>
            <w10:wrap type="none"/>
            <w10:anchorlock/>
          </v:shape>
          <o:OLEObject Type="Embed" ProgID="Visio.Drawing.15" ShapeID="_x0000_i1036" DrawAspect="Content" ObjectID="_1468075736" r:id="rId34">
            <o:LockedField>false</o:LockedField>
          </o:OLEObject>
        </w:object>
      </w:r>
    </w:p>
    <w:p w14:paraId="1A069770">
      <w:pPr>
        <w:pStyle w:val="7"/>
      </w:pPr>
      <w:bookmarkStart w:id="29" w:name="_Toc177115152"/>
      <w:r>
        <w:rPr>
          <w:rFonts w:hint="eastAsia"/>
        </w:rPr>
        <w:t>信令报文发送</w:t>
      </w:r>
      <w:bookmarkEnd w:id="29"/>
    </w:p>
    <w:p w14:paraId="09EC75AA">
      <w:pPr>
        <w:pStyle w:val="4"/>
      </w:pPr>
      <w:r>
        <w:rPr>
          <w:rFonts w:hint="eastAsia"/>
        </w:rPr>
        <w:t>将信令流程产生的信令封装为IP包，递交给数据链路层。</w:t>
      </w:r>
    </w:p>
    <w:p w14:paraId="4F6AA34B">
      <w:pPr>
        <w:pStyle w:val="4"/>
      </w:pPr>
      <w:r>
        <w:rPr>
          <w:rFonts w:hint="eastAsia"/>
        </w:rPr>
        <w:t>IP包头格式如下所示：</w:t>
      </w:r>
    </w:p>
    <w:p w14:paraId="4907585A">
      <w:pPr>
        <w:pStyle w:val="72"/>
      </w:pPr>
      <w:r>
        <w:rPr>
          <w:rFonts w:ascii="宋体" w:hAnsi="宋体" w:cs="宋体"/>
          <w:szCs w:val="24"/>
        </w:rPr>
        <w:drawing>
          <wp:inline distT="0" distB="0" distL="114300" distR="114300">
            <wp:extent cx="4154170" cy="2395855"/>
            <wp:effectExtent l="0" t="0" r="8255" b="4445"/>
            <wp:docPr id="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D541F2">
      <w:pPr>
        <w:pStyle w:val="4"/>
      </w:pPr>
      <w:r>
        <w:t>IP包头固定部分大小共20字节</w:t>
      </w:r>
      <w:r>
        <w:rPr>
          <w:rFonts w:hint="eastAsia"/>
        </w:rPr>
        <w:t>；选项字段长度可变一般为32bit的整数倍，最小无，最大40Byte，当有可选字段且不足32bit时，余下部分用无用数据填充，所以，一个完整的IP头最小20Byte，最大60Byte。</w:t>
      </w:r>
    </w:p>
    <w:p w14:paraId="454FC52B">
      <w:pPr>
        <w:pStyle w:val="4"/>
      </w:pPr>
      <w:r>
        <w:t>1</w:t>
      </w:r>
      <w:r>
        <w:rPr>
          <w:rFonts w:hint="eastAsia"/>
        </w:rPr>
        <w:t>）</w:t>
      </w:r>
      <w:r>
        <w:t>版本</w:t>
      </w:r>
    </w:p>
    <w:p w14:paraId="204BDDD0">
      <w:pPr>
        <w:pStyle w:val="4"/>
        <w:rPr>
          <w:b/>
          <w:bCs/>
          <w:color w:val="C00000"/>
        </w:rPr>
      </w:pPr>
      <w:r>
        <w:t>长度为4位，指IP协议的版本.通信双方使用的IP协议版本必须一致。目前广泛使用的 IP协议版本号为 4 (即 IPv4)。IPv6 目前还处于起步阶段。IP v4的值为0100，IP v6的值为0110。</w:t>
      </w:r>
      <w:r>
        <w:rPr>
          <w:rFonts w:hint="eastAsia"/>
          <w:b/>
          <w:bCs/>
          <w:color w:val="C00000"/>
        </w:rPr>
        <w:t>需增加新的定义</w:t>
      </w:r>
    </w:p>
    <w:p w14:paraId="19892A37">
      <w:pPr>
        <w:pStyle w:val="4"/>
      </w:pPr>
      <w:r>
        <w:t>2</w:t>
      </w:r>
      <w:r>
        <w:rPr>
          <w:rFonts w:hint="eastAsia"/>
        </w:rPr>
        <w:t>）</w:t>
      </w:r>
      <w:r>
        <w:t>首部长度</w:t>
      </w:r>
    </w:p>
    <w:p w14:paraId="3E25358E">
      <w:pPr>
        <w:pStyle w:val="4"/>
      </w:pPr>
      <w:r>
        <w:t>指的是IP包头长度，占 4 位,可表示的最大十进制数值是15。请注意,这个字段所表示数的单位是32位字 (1个32位字长是4 字节)，因此，当 IP 的首部长度为 1111 时 (即十进制的 15)，首部长度就达到 60字节。当 IP 分组的首部长度不是4字节的整数倍时，必须利用最后的填充字段加以填充.因此数据部分永远在 4字节的整数倍开始,这样在实现 IP协议时较为方便。首部长度限制为 60字节的缺点是有时可能不够用.这样做的目的是希望用户尽量减少开销.最常用的首部长度就是 20 字节 (即首部长度为 0101),这时不使用任何选项。</w:t>
      </w:r>
    </w:p>
    <w:p w14:paraId="34845D8E">
      <w:pPr>
        <w:pStyle w:val="4"/>
      </w:pPr>
      <w:r>
        <w:rPr>
          <w:rFonts w:hint="eastAsia"/>
        </w:rPr>
        <w:t>3）</w:t>
      </w:r>
      <w:r>
        <w:t>服务</w:t>
      </w:r>
    </w:p>
    <w:p w14:paraId="5505E9AD">
      <w:pPr>
        <w:pStyle w:val="4"/>
      </w:pPr>
      <w:r>
        <w:t>占 8 位，用来获得更好的服务。这个字段在旧标准中叫做服务类型，但实际上一直没有被使用过。1998年IETF把这个字段改名为区分服务 DS(Differentiated Services)。只有在使用区分服务时，这个字段才起作用。其组成：前3位为优先级（Precedence），后4位标志位，最后1位保留未用。优先级主要用于QoS，表示从0（普通级别）到7（网络控制分组）的优先级。标志位可分别表示D（Delay更低的时延）、T（Throughput 更高的吞吐量）、R（Reliability更高的可靠性）、C（Cost 更低费用的路由）。</w:t>
      </w:r>
    </w:p>
    <w:p w14:paraId="5EE26A90">
      <w:pPr>
        <w:pStyle w:val="4"/>
      </w:pPr>
      <w:r>
        <w:t>4</w:t>
      </w:r>
      <w:r>
        <w:rPr>
          <w:rFonts w:hint="eastAsia"/>
        </w:rPr>
        <w:t>）</w:t>
      </w:r>
      <w:r>
        <w:t>总长度</w:t>
      </w:r>
    </w:p>
    <w:p w14:paraId="2F1EF28D">
      <w:pPr>
        <w:pStyle w:val="4"/>
      </w:pPr>
      <w:r>
        <w:t>总长度指首都及数据之和的长度,单位为字节.因为总长度字段为 16位,所以数据报的最大长度为 216-1=65 535字节.在IP层下面的每一种数据链路层都有自己的帧格式,其中包括帧格式中的数据字段的最大长度,即最大传送单元 MTU (Maximum Transfer Unit).当一个数据报封装成链路层的帧时,此数据报的总长度 (即首部加上数据部分)一定不能超过下面的数据链路层的MTU值,否则要</w:t>
      </w:r>
      <w:r>
        <w:rPr>
          <w:rFonts w:hint="eastAsia"/>
        </w:rPr>
        <w:t>拆分</w:t>
      </w:r>
      <w:r>
        <w:t>.</w:t>
      </w:r>
    </w:p>
    <w:p w14:paraId="514BD5B3">
      <w:pPr>
        <w:pStyle w:val="4"/>
      </w:pPr>
      <w:r>
        <w:t>5</w:t>
      </w:r>
      <w:r>
        <w:rPr>
          <w:rFonts w:hint="eastAsia"/>
        </w:rPr>
        <w:t>）</w:t>
      </w:r>
      <w:r>
        <w:t>标识 (Identification)</w:t>
      </w:r>
    </w:p>
    <w:p w14:paraId="655222FF">
      <w:pPr>
        <w:pStyle w:val="4"/>
      </w:pPr>
      <w:r>
        <w:t>占 16位.IP软件在存储器中维持一个计数器,每产生一个数据报,计数器就加 1,并将此值赋给标识字段.但这个"标识"并不是序号,因为 IP是无连接的服务,数据报不存在按序接收的问题.当数据报由于长度超过网络的 MTU 而必须</w:t>
      </w:r>
      <w:r>
        <w:rPr>
          <w:rFonts w:hint="eastAsia"/>
        </w:rPr>
        <w:t>拆分</w:t>
      </w:r>
      <w:r>
        <w:t>时,这个标识字段的值就被复制到所有的数据报的标识字段中.相同的标识字段的值使</w:t>
      </w:r>
      <w:r>
        <w:rPr>
          <w:rFonts w:hint="eastAsia"/>
        </w:rPr>
        <w:t>拆分</w:t>
      </w:r>
      <w:r>
        <w:t>后的各数据报片最后能正确地重装成为原来的数据报.</w:t>
      </w:r>
    </w:p>
    <w:p w14:paraId="1B156ADA">
      <w:pPr>
        <w:pStyle w:val="4"/>
      </w:pPr>
      <w:r>
        <w:t>6</w:t>
      </w:r>
      <w:r>
        <w:rPr>
          <w:rFonts w:hint="eastAsia"/>
        </w:rPr>
        <w:t>）</w:t>
      </w:r>
      <w:r>
        <w:t>标志 (Flag)</w:t>
      </w:r>
    </w:p>
    <w:p w14:paraId="1FB0FB59">
      <w:pPr>
        <w:pStyle w:val="4"/>
      </w:pPr>
      <w:r>
        <w:t>长度为3 位,但目前只有2位有意义. 标志字段中的最低位记为 MF(More Fragment).MF=1即表示后面"还有</w:t>
      </w:r>
      <w:r>
        <w:rPr>
          <w:rFonts w:hint="eastAsia"/>
        </w:rPr>
        <w:t>拆分</w:t>
      </w:r>
      <w:r>
        <w:t>"的数据报.MF=0表示这已是若干数据报片中的最后一个.标志字段中间的一位记为DF(Don’t Fragment),意思是"不能</w:t>
      </w:r>
      <w:r>
        <w:rPr>
          <w:rFonts w:hint="eastAsia"/>
        </w:rPr>
        <w:t>拆分</w:t>
      </w:r>
      <w:r>
        <w:t>",只有当 DF=0时才允许</w:t>
      </w:r>
      <w:r>
        <w:rPr>
          <w:rFonts w:hint="eastAsia"/>
        </w:rPr>
        <w:t>拆分</w:t>
      </w:r>
      <w:r>
        <w:t>.</w:t>
      </w:r>
    </w:p>
    <w:p w14:paraId="63A74A1D">
      <w:pPr>
        <w:pStyle w:val="4"/>
      </w:pPr>
      <w:r>
        <w:t>7</w:t>
      </w:r>
      <w:r>
        <w:rPr>
          <w:rFonts w:hint="eastAsia"/>
        </w:rPr>
        <w:t>）</w:t>
      </w:r>
      <w:r>
        <w:t>片偏移</w:t>
      </w:r>
    </w:p>
    <w:p w14:paraId="23D33100">
      <w:pPr>
        <w:pStyle w:val="4"/>
      </w:pPr>
      <w:r>
        <w:t>占 13位。也称段偏移，较长的分组在</w:t>
      </w:r>
      <w:r>
        <w:rPr>
          <w:rFonts w:hint="eastAsia"/>
        </w:rPr>
        <w:t>拆分</w:t>
      </w:r>
      <w:r>
        <w:t>后,某片在原分组中的相对位置.也就是说,相对用户数据字段的起点,该片从何处开始。片偏移以 8个字节为偏移单位,这就是说,每个</w:t>
      </w:r>
      <w:r>
        <w:rPr>
          <w:rFonts w:hint="eastAsia"/>
        </w:rPr>
        <w:t>拆分</w:t>
      </w:r>
      <w:r>
        <w:t>的长度一定是 8字节(64位)的整数倍。</w:t>
      </w:r>
    </w:p>
    <w:p w14:paraId="780B8724">
      <w:pPr>
        <w:pStyle w:val="4"/>
      </w:pPr>
      <w:r>
        <w:t>8</w:t>
      </w:r>
      <w:r>
        <w:rPr>
          <w:rFonts w:hint="eastAsia"/>
        </w:rPr>
        <w:t>）</w:t>
      </w:r>
      <w:r>
        <w:t>生存时间（TTL）</w:t>
      </w:r>
    </w:p>
    <w:p w14:paraId="6D4C6E7B">
      <w:pPr>
        <w:pStyle w:val="4"/>
      </w:pPr>
      <w:r>
        <w:t>长度为8位，初始值由操作系统设置，每经过一个路由器转发后其值就减1，减至0后丢弃该包。这种机制可以避免数据包找不到目地时不断被转发，堵塞网络。</w:t>
      </w:r>
    </w:p>
    <w:p w14:paraId="28374F02">
      <w:pPr>
        <w:pStyle w:val="4"/>
      </w:pPr>
      <w:r>
        <w:t>9</w:t>
      </w:r>
      <w:r>
        <w:rPr>
          <w:rFonts w:hint="eastAsia"/>
        </w:rPr>
        <w:t>）</w:t>
      </w:r>
      <w:r>
        <w:t>协议（Protocol）</w:t>
      </w:r>
    </w:p>
    <w:p w14:paraId="6CDECFF9">
      <w:pPr>
        <w:pStyle w:val="4"/>
      </w:pPr>
      <w:r>
        <w:t>长度为8位，标识上层所使用的协议。</w:t>
      </w:r>
      <w:r>
        <w:rPr>
          <w:rFonts w:hint="eastAsia"/>
          <w:b/>
          <w:bCs/>
          <w:color w:val="C00000"/>
        </w:rPr>
        <w:t>需增加私有协议定义</w:t>
      </w:r>
    </w:p>
    <w:p w14:paraId="3ADD71E7">
      <w:pPr>
        <w:pStyle w:val="4"/>
      </w:pPr>
      <w:r>
        <w:t>10</w:t>
      </w:r>
      <w:r>
        <w:rPr>
          <w:rFonts w:hint="eastAsia"/>
        </w:rPr>
        <w:t>）</w:t>
      </w:r>
      <w:r>
        <w:t>首部校验和（Header Checksum）</w:t>
      </w:r>
    </w:p>
    <w:p w14:paraId="5C677ADD">
      <w:pPr>
        <w:pStyle w:val="4"/>
      </w:pPr>
      <w:r>
        <w:t>占16位，首部检验和只对IP数据包首部进行校验，不包含数据部分。因为数据包每经过一个路由器都要重新计算首部校验和， (一些字段,如生存时间,标志,片偏移等都可能发生变化)对首都进行检验。</w:t>
      </w:r>
    </w:p>
    <w:p w14:paraId="08E16939">
      <w:pPr>
        <w:pStyle w:val="4"/>
      </w:pPr>
      <w:r>
        <w:t>11</w:t>
      </w:r>
      <w:r>
        <w:rPr>
          <w:rFonts w:hint="eastAsia"/>
        </w:rPr>
        <w:t>）</w:t>
      </w:r>
      <w:r>
        <w:t>源IP地址（Source IP）</w:t>
      </w:r>
    </w:p>
    <w:p w14:paraId="4A8E69A0">
      <w:pPr>
        <w:pStyle w:val="4"/>
      </w:pPr>
      <w:r>
        <w:t>长度为32位，表示数据发送的主机IP。</w:t>
      </w:r>
    </w:p>
    <w:p w14:paraId="547708A0">
      <w:pPr>
        <w:pStyle w:val="4"/>
      </w:pPr>
      <w:r>
        <w:t>12</w:t>
      </w:r>
      <w:r>
        <w:rPr>
          <w:rFonts w:hint="eastAsia"/>
        </w:rPr>
        <w:t>）</w:t>
      </w:r>
      <w:r>
        <w:t>目的IP地址（Destination IP）</w:t>
      </w:r>
    </w:p>
    <w:p w14:paraId="7592B25F">
      <w:pPr>
        <w:pStyle w:val="4"/>
      </w:pPr>
      <w:r>
        <w:t>长度为32位，表示数据要接收的主机IP。</w:t>
      </w:r>
    </w:p>
    <w:p w14:paraId="17D1D4F5">
      <w:pPr>
        <w:pStyle w:val="4"/>
      </w:pPr>
      <w:r>
        <w:t>13</w:t>
      </w:r>
      <w:r>
        <w:rPr>
          <w:rFonts w:hint="eastAsia"/>
        </w:rPr>
        <w:t>）</w:t>
      </w:r>
      <w:r>
        <w:t>选项字段（Options）</w:t>
      </w:r>
    </w:p>
    <w:p w14:paraId="67E38AF3">
      <w:pPr>
        <w:pStyle w:val="4"/>
      </w:pPr>
      <w:r>
        <w:t>长度为0-40字节（Byte），主要有：安全和处理限制（Security）、记录路径（Record Route）、时间戳（Timestamps）、宽松源站选路（Loose Source Routing）、严格的源站选路（Strict Source Routing）等。</w:t>
      </w:r>
    </w:p>
    <w:p w14:paraId="1F568537">
      <w:pPr>
        <w:pStyle w:val="4"/>
        <w:ind w:firstLine="482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建议：使用IP包头依然需要修改IP包头内容，且信令均为点对点传输，因此IP包头没有带来任何好处（DLL包头中指示是信令还是数据包）反而增大了开销，因此信令包建议不加IP头。</w:t>
      </w:r>
    </w:p>
    <w:p w14:paraId="554148E6">
      <w:pPr>
        <w:pStyle w:val="7"/>
      </w:pPr>
      <w:bookmarkStart w:id="30" w:name="_Toc177115153"/>
      <w:r>
        <w:rPr>
          <w:rFonts w:hint="eastAsia"/>
        </w:rPr>
        <w:t>数据报文发送</w:t>
      </w:r>
      <w:bookmarkEnd w:id="30"/>
    </w:p>
    <w:p w14:paraId="4496890E">
      <w:pPr>
        <w:pStyle w:val="4"/>
      </w:pPr>
      <w:r>
        <w:rPr>
          <w:rFonts w:hint="eastAsia"/>
        </w:rPr>
        <w:t>DLL以目的卫星ID为索引建立数据接收队列（落地卫星个数），如下图所示：</w:t>
      </w:r>
    </w:p>
    <w:p w14:paraId="5E14AE55">
      <w:pPr>
        <w:pStyle w:val="72"/>
      </w:pPr>
      <w:r>
        <w:object>
          <v:shape id="_x0000_i1037" o:spt="75" type="#_x0000_t75" style="height:227.25pt;width:351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f"/>
            <w10:wrap type="none"/>
            <w10:anchorlock/>
          </v:shape>
          <o:OLEObject Type="Embed" ProgID="Visio.Drawing.15" ShapeID="_x0000_i1037" DrawAspect="Content" ObjectID="_1468075737" r:id="rId37">
            <o:LockedField>false</o:LockedField>
          </o:OLEObject>
        </w:object>
      </w:r>
    </w:p>
    <w:p w14:paraId="5A70E152">
      <w:pPr>
        <w:pStyle w:val="4"/>
      </w:pPr>
      <w:r>
        <w:rPr>
          <w:rFonts w:hint="eastAsia"/>
        </w:rPr>
        <w:t>DLL和FORWARD通过共享内存共同维护如下信息（仅维护可落地卫星的路由信息）：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2111"/>
        <w:gridCol w:w="2094"/>
        <w:gridCol w:w="2636"/>
      </w:tblGrid>
      <w:tr w14:paraId="110A7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87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3780FCF4">
            <w:pPr>
              <w:pStyle w:val="4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目的卫星</w:t>
            </w:r>
          </w:p>
        </w:tc>
        <w:tc>
          <w:tcPr>
            <w:tcW w:w="2111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6A74E146">
            <w:pPr>
              <w:pStyle w:val="4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下一跳卫星</w:t>
            </w:r>
          </w:p>
        </w:tc>
        <w:tc>
          <w:tcPr>
            <w:tcW w:w="209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20F322F5">
            <w:pPr>
              <w:pStyle w:val="4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PortId</w:t>
            </w:r>
          </w:p>
        </w:tc>
        <w:tc>
          <w:tcPr>
            <w:tcW w:w="2636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2A90D364">
            <w:pPr>
              <w:pStyle w:val="4"/>
              <w:ind w:firstLine="0" w:firstLineChars="0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当前mcs（承载大小）</w:t>
            </w:r>
          </w:p>
        </w:tc>
      </w:tr>
      <w:tr w14:paraId="38A28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9" w:type="dxa"/>
            <w:vAlign w:val="center"/>
          </w:tcPr>
          <w:p w14:paraId="5A0EF0B0">
            <w:pPr>
              <w:pStyle w:val="4"/>
            </w:pPr>
            <w:r>
              <w:rPr>
                <w:rFonts w:hint="eastAsia"/>
              </w:rPr>
              <w:t>DestSatId1</w:t>
            </w:r>
          </w:p>
        </w:tc>
        <w:tc>
          <w:tcPr>
            <w:tcW w:w="2111" w:type="dxa"/>
            <w:vAlign w:val="center"/>
          </w:tcPr>
          <w:p w14:paraId="0A34825B">
            <w:pPr>
              <w:pStyle w:val="4"/>
            </w:pPr>
            <w:r>
              <w:rPr>
                <w:rFonts w:hint="eastAsia"/>
              </w:rPr>
              <w:t>satId1</w:t>
            </w:r>
          </w:p>
        </w:tc>
        <w:tc>
          <w:tcPr>
            <w:tcW w:w="2094" w:type="dxa"/>
            <w:vAlign w:val="center"/>
          </w:tcPr>
          <w:p w14:paraId="1B799E8C">
            <w:pPr>
              <w:pStyle w:val="4"/>
            </w:pPr>
            <w:r>
              <w:rPr>
                <w:rFonts w:hint="eastAsia"/>
              </w:rPr>
              <w:t>PortId1</w:t>
            </w:r>
          </w:p>
        </w:tc>
        <w:tc>
          <w:tcPr>
            <w:tcW w:w="2636" w:type="dxa"/>
            <w:vAlign w:val="center"/>
          </w:tcPr>
          <w:p w14:paraId="23C43142">
            <w:pPr>
              <w:pStyle w:val="4"/>
            </w:pPr>
            <w:r>
              <w:rPr>
                <w:rFonts w:hint="eastAsia"/>
              </w:rPr>
              <w:t>Mcs1</w:t>
            </w:r>
          </w:p>
        </w:tc>
      </w:tr>
      <w:tr w14:paraId="28798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9" w:type="dxa"/>
            <w:vAlign w:val="center"/>
          </w:tcPr>
          <w:p w14:paraId="4E21AC31">
            <w:pPr>
              <w:pStyle w:val="4"/>
            </w:pPr>
            <w:r>
              <w:rPr>
                <w:rFonts w:hint="eastAsia"/>
              </w:rPr>
              <w:t>DestSatId2</w:t>
            </w:r>
          </w:p>
        </w:tc>
        <w:tc>
          <w:tcPr>
            <w:tcW w:w="2111" w:type="dxa"/>
            <w:vAlign w:val="center"/>
          </w:tcPr>
          <w:p w14:paraId="7CD7BF8B">
            <w:pPr>
              <w:pStyle w:val="4"/>
            </w:pPr>
            <w:r>
              <w:rPr>
                <w:rFonts w:hint="eastAsia"/>
              </w:rPr>
              <w:t>satId2</w:t>
            </w:r>
          </w:p>
        </w:tc>
        <w:tc>
          <w:tcPr>
            <w:tcW w:w="2094" w:type="dxa"/>
            <w:vAlign w:val="center"/>
          </w:tcPr>
          <w:p w14:paraId="7BDC3F56">
            <w:pPr>
              <w:pStyle w:val="4"/>
            </w:pPr>
            <w:r>
              <w:rPr>
                <w:rFonts w:hint="eastAsia"/>
              </w:rPr>
              <w:t>PortId2</w:t>
            </w:r>
          </w:p>
        </w:tc>
        <w:tc>
          <w:tcPr>
            <w:tcW w:w="2636" w:type="dxa"/>
            <w:vAlign w:val="center"/>
          </w:tcPr>
          <w:p w14:paraId="4B76D295">
            <w:pPr>
              <w:pStyle w:val="4"/>
            </w:pPr>
            <w:r>
              <w:rPr>
                <w:rFonts w:hint="eastAsia"/>
              </w:rPr>
              <w:t>Mcs2</w:t>
            </w:r>
          </w:p>
        </w:tc>
      </w:tr>
      <w:tr w14:paraId="286A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9" w:type="dxa"/>
            <w:vAlign w:val="center"/>
          </w:tcPr>
          <w:p w14:paraId="5838688A">
            <w:pPr>
              <w:pStyle w:val="4"/>
            </w:pPr>
            <w:r>
              <w:rPr>
                <w:rFonts w:hint="eastAsia"/>
              </w:rPr>
              <w:t>......</w:t>
            </w:r>
          </w:p>
        </w:tc>
        <w:tc>
          <w:tcPr>
            <w:tcW w:w="2111" w:type="dxa"/>
            <w:vAlign w:val="center"/>
          </w:tcPr>
          <w:p w14:paraId="070F5692">
            <w:pPr>
              <w:pStyle w:val="4"/>
            </w:pPr>
            <w:r>
              <w:rPr>
                <w:rFonts w:hint="eastAsia"/>
              </w:rPr>
              <w:t>.......</w:t>
            </w:r>
          </w:p>
        </w:tc>
        <w:tc>
          <w:tcPr>
            <w:tcW w:w="2094" w:type="dxa"/>
            <w:vAlign w:val="center"/>
          </w:tcPr>
          <w:p w14:paraId="7278C9BF">
            <w:pPr>
              <w:pStyle w:val="4"/>
            </w:pPr>
            <w:r>
              <w:rPr>
                <w:rFonts w:hint="eastAsia"/>
              </w:rPr>
              <w:t>......</w:t>
            </w:r>
          </w:p>
        </w:tc>
        <w:tc>
          <w:tcPr>
            <w:tcW w:w="2636" w:type="dxa"/>
            <w:vAlign w:val="center"/>
          </w:tcPr>
          <w:p w14:paraId="1EE092C2">
            <w:pPr>
              <w:pStyle w:val="4"/>
            </w:pPr>
            <w:r>
              <w:rPr>
                <w:rFonts w:hint="eastAsia"/>
              </w:rPr>
              <w:t>.......</w:t>
            </w:r>
          </w:p>
        </w:tc>
      </w:tr>
      <w:tr w14:paraId="670C6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9" w:type="dxa"/>
            <w:vAlign w:val="center"/>
          </w:tcPr>
          <w:p w14:paraId="27EEB054">
            <w:pPr>
              <w:pStyle w:val="4"/>
            </w:pPr>
            <w:r>
              <w:rPr>
                <w:rFonts w:hint="eastAsia"/>
              </w:rPr>
              <w:t>DestSatIdn</w:t>
            </w:r>
          </w:p>
        </w:tc>
        <w:tc>
          <w:tcPr>
            <w:tcW w:w="2111" w:type="dxa"/>
            <w:vAlign w:val="center"/>
          </w:tcPr>
          <w:p w14:paraId="0AEF442F">
            <w:pPr>
              <w:pStyle w:val="4"/>
            </w:pPr>
            <w:r>
              <w:rPr>
                <w:rFonts w:hint="eastAsia"/>
              </w:rPr>
              <w:t>satIdn</w:t>
            </w:r>
          </w:p>
        </w:tc>
        <w:tc>
          <w:tcPr>
            <w:tcW w:w="2094" w:type="dxa"/>
            <w:vAlign w:val="center"/>
          </w:tcPr>
          <w:p w14:paraId="1817855C">
            <w:pPr>
              <w:pStyle w:val="4"/>
            </w:pPr>
            <w:r>
              <w:rPr>
                <w:rFonts w:hint="eastAsia"/>
              </w:rPr>
              <w:t>PortIdn</w:t>
            </w:r>
          </w:p>
        </w:tc>
        <w:tc>
          <w:tcPr>
            <w:tcW w:w="2636" w:type="dxa"/>
            <w:vAlign w:val="center"/>
          </w:tcPr>
          <w:p w14:paraId="5963DC6F">
            <w:pPr>
              <w:pStyle w:val="4"/>
            </w:pPr>
            <w:r>
              <w:rPr>
                <w:rFonts w:hint="eastAsia"/>
              </w:rPr>
              <w:t>Mcsn</w:t>
            </w:r>
          </w:p>
        </w:tc>
      </w:tr>
    </w:tbl>
    <w:p w14:paraId="622A433F">
      <w:pPr>
        <w:pStyle w:val="4"/>
        <w:ind w:firstLine="240" w:firstLineChars="100"/>
      </w:pPr>
      <w:r>
        <w:rPr>
          <w:rFonts w:hint="eastAsia"/>
          <w:color w:val="C00000"/>
        </w:rPr>
        <w:t>注意：1、下一跳为本星，则表明需将数据转发至vdes端基或馈电；2、0~3为路由；4为vdes端机；5为馈电。</w:t>
      </w:r>
    </w:p>
    <w:p w14:paraId="0A62B86F">
      <w:pPr>
        <w:pStyle w:val="4"/>
      </w:pPr>
      <w:r>
        <w:rPr>
          <w:rFonts w:hint="eastAsia"/>
        </w:rPr>
        <w:t>Forward周期性的遍历该路由表，如果下一条或mcs发生变化，更新下一跳及mcs信息供DLL查询使用；当Forward收到L2S的邻居移除消息后，从路由表中删除该下一跳；当Forward接收到L2S的mcs更新通知后，遍历该表更新下一跳所对应的mcs；当收到DLL通知路由表新增成员时，FORWARD根据目标卫星ID从ROUTER获取下一跳信息及当前链路MCS，更新路由表，并通知DLL新增成员的响应。</w:t>
      </w:r>
    </w:p>
    <w:p w14:paraId="084A270F">
      <w:pPr>
        <w:pStyle w:val="4"/>
      </w:pPr>
      <w:r>
        <w:rPr>
          <w:rFonts w:hint="eastAsia"/>
        </w:rPr>
        <w:t>当对应的目的卫星没有（或一段时间没有）IP数据时，DLL将上表中的对应的DestSatId项删除。</w:t>
      </w:r>
    </w:p>
    <w:p w14:paraId="1FC92EC9">
      <w:pPr>
        <w:pStyle w:val="4"/>
      </w:pPr>
      <w:r>
        <w:rPr>
          <w:rFonts w:hint="eastAsia"/>
        </w:rPr>
        <w:t>当DLL查询到当前DestSatId所对应的下一跳卫星ID为空时，将数据暂存在缓存中（如缓存10s）；否则根据当前mcs计算承载大小，进行组装数据（信令优先级高与数据）放至与物理层公用的DDR中。</w:t>
      </w:r>
    </w:p>
    <w:p w14:paraId="0414A1AD">
      <w:pPr>
        <w:pStyle w:val="7"/>
      </w:pPr>
      <w:bookmarkStart w:id="31" w:name="_Toc177115154"/>
      <w:r>
        <w:rPr>
          <w:rFonts w:hint="eastAsia"/>
        </w:rPr>
        <w:t>模块间消息的处理</w:t>
      </w:r>
      <w:bookmarkEnd w:id="31"/>
    </w:p>
    <w:p w14:paraId="268B165B">
      <w:pPr>
        <w:pStyle w:val="4"/>
      </w:pPr>
      <w:r>
        <w:rPr>
          <w:rFonts w:hint="eastAsia"/>
        </w:rPr>
        <w:t>FORWARD接收到ROUTER的路由更新指示，更新路由表。如果对应目标基站ID的下一跳无效，则删除路由表中该目标基站ID对应的项。</w:t>
      </w:r>
    </w:p>
    <w:p w14:paraId="40E576DA">
      <w:pPr>
        <w:pStyle w:val="4"/>
      </w:pPr>
      <w:r>
        <w:rPr>
          <w:rFonts w:hint="eastAsia"/>
        </w:rPr>
        <w:t>FORWARD接收到DLL的路由表成员的增加时，调用ROUTER模块下一条查询接口，如果查询到有效的下一跳，则通知DLL添加成功，否则指示DLL添加失败。</w:t>
      </w:r>
    </w:p>
    <w:p w14:paraId="60165C23">
      <w:pPr>
        <w:pStyle w:val="5"/>
      </w:pPr>
      <w:bookmarkStart w:id="32" w:name="_Toc177115155"/>
      <w:bookmarkStart w:id="33" w:name="_Toc174635598"/>
      <w:r>
        <w:rPr>
          <w:rFonts w:hint="eastAsia"/>
        </w:rPr>
        <w:t>发送数据的处理流程</w:t>
      </w:r>
      <w:bookmarkEnd w:id="32"/>
    </w:p>
    <w:p w14:paraId="54D9A05A">
      <w:pPr>
        <w:pStyle w:val="4"/>
      </w:pPr>
      <w:r>
        <w:rPr>
          <w:rFonts w:hint="eastAsia"/>
        </w:rPr>
        <w:t>数据链路层是</w:t>
      </w:r>
      <w:r>
        <w:t>IP</w:t>
      </w:r>
      <w:r>
        <w:rPr>
          <w:rFonts w:hint="eastAsia"/>
        </w:rPr>
        <w:t>oC功能实现的核心，在下行方向发送数据，其将I</w:t>
      </w:r>
      <w:r>
        <w:t>P</w:t>
      </w:r>
      <w:r>
        <w:rPr>
          <w:rFonts w:hint="eastAsia"/>
        </w:rPr>
        <w:t>报文依次封装I</w:t>
      </w:r>
      <w:r>
        <w:t>PE</w:t>
      </w:r>
      <w:r>
        <w:rPr>
          <w:rFonts w:hint="eastAsia"/>
        </w:rPr>
        <w:t>头部、E</w:t>
      </w:r>
      <w:r>
        <w:t>PP</w:t>
      </w:r>
      <w:r>
        <w:rPr>
          <w:rFonts w:hint="eastAsia"/>
        </w:rPr>
        <w:t>头部、U</w:t>
      </w:r>
      <w:r>
        <w:t>SLP</w:t>
      </w:r>
      <w:r>
        <w:rPr>
          <w:rFonts w:hint="eastAsia"/>
        </w:rPr>
        <w:t>头部和尾部，形成C</w:t>
      </w:r>
      <w:r>
        <w:t>CSDS</w:t>
      </w:r>
      <w:r>
        <w:rPr>
          <w:rFonts w:hint="eastAsia"/>
        </w:rPr>
        <w:t>标准规范的帧，送入物理层。</w:t>
      </w:r>
    </w:p>
    <w:p w14:paraId="3BE97D47">
      <w:pPr>
        <w:pStyle w:val="72"/>
      </w:pPr>
      <w:r>
        <w:rPr>
          <w:rFonts w:hint="eastAsia"/>
        </w:rPr>
        <w:object>
          <v:shape id="_x0000_i1038" o:spt="75" type="#_x0000_t75" style="height:72pt;width:244.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Visio.Drawing.15" ShapeID="_x0000_i1038" DrawAspect="Content" ObjectID="_1468075738" r:id="rId39">
            <o:LockedField>false</o:LockedField>
          </o:OLEObject>
        </w:object>
      </w:r>
    </w:p>
    <w:p w14:paraId="0777EBCE">
      <w:pPr>
        <w:pStyle w:val="18"/>
        <w:spacing w:before="156" w:after="156"/>
      </w:pPr>
      <w: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STYLEREF 1 \s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SEQ 图 \* ARABIC \s 1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数据链路层的报文封装层级</w:t>
      </w:r>
    </w:p>
    <w:p w14:paraId="1E9DFD9A">
      <w:pPr>
        <w:pStyle w:val="4"/>
      </w:pPr>
      <w:r>
        <w:rPr>
          <w:rFonts w:hint="eastAsia"/>
        </w:rPr>
        <w:t>其中，I</w:t>
      </w:r>
      <w:r>
        <w:t>PE</w:t>
      </w:r>
      <w:r>
        <w:rPr>
          <w:rFonts w:hint="eastAsia"/>
        </w:rPr>
        <w:t>头部、E</w:t>
      </w:r>
      <w:r>
        <w:t>PP</w:t>
      </w:r>
      <w:r>
        <w:rPr>
          <w:rFonts w:hint="eastAsia"/>
        </w:rPr>
        <w:t>头部、U</w:t>
      </w:r>
      <w:r>
        <w:t>SLP</w:t>
      </w:r>
      <w:r>
        <w:rPr>
          <w:rFonts w:hint="eastAsia"/>
        </w:rPr>
        <w:t>头部和尾部中各个字段中包含的子字段的图示如下。</w:t>
      </w:r>
    </w:p>
    <w:p w14:paraId="2E16C687">
      <w:pPr>
        <w:pStyle w:val="72"/>
      </w:pPr>
      <w:r>
        <w:object>
          <v:shape id="_x0000_i1039" o:spt="75" type="#_x0000_t75" style="height:65.75pt;width:402.1pt;" o:ole="t" filled="f" o:preferrelative="t" stroked="f" coordsize="21600,21600">
            <v:path/>
            <v:fill on="f" focussize="0,0"/>
            <v:stroke on="f"/>
            <v:imagedata r:id="rId42" o:title=""/>
            <o:lock v:ext="edit" aspectratio="f"/>
            <w10:wrap type="none"/>
            <w10:anchorlock/>
          </v:shape>
          <o:OLEObject Type="Embed" ProgID="Visio.Drawing.15" ShapeID="_x0000_i1039" DrawAspect="Content" ObjectID="_1468075739" r:id="rId41">
            <o:LockedField>false</o:LockedField>
          </o:OLEObject>
        </w:object>
      </w:r>
    </w:p>
    <w:p w14:paraId="3ACAEAC1">
      <w:pPr>
        <w:pStyle w:val="18"/>
        <w:spacing w:before="156" w:after="156"/>
      </w:pPr>
      <w: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STYLEREF 1 \s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SEQ 图 \* ARABIC \s 1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数据链路层的报文各字段图示</w:t>
      </w:r>
    </w:p>
    <w:p w14:paraId="159CD36B">
      <w:pPr>
        <w:pStyle w:val="72"/>
      </w:pPr>
      <w:r>
        <w:rPr>
          <w:rFonts w:hint="eastAsia"/>
        </w:rPr>
        <w:object>
          <v:shape id="_x0000_i1040" o:spt="75" type="#_x0000_t75" style="height:597.65pt;width:254.9pt;" o:ole="t" filled="f" o:preferrelative="t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Visio.Drawing.15" ShapeID="_x0000_i1040" DrawAspect="Content" ObjectID="_1468075740" r:id="rId43">
            <o:LockedField>false</o:LockedField>
          </o:OLEObject>
        </w:object>
      </w:r>
    </w:p>
    <w:p w14:paraId="3C677987">
      <w:pPr>
        <w:pStyle w:val="18"/>
        <w:spacing w:before="156" w:after="156"/>
      </w:pPr>
      <w: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STYLEREF 1 \s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SEQ 图 \* ARABIC \s 1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报文封装流程</w:t>
      </w:r>
    </w:p>
    <w:p w14:paraId="68ADF8B9">
      <w:pPr>
        <w:pStyle w:val="7"/>
      </w:pPr>
      <w:bookmarkStart w:id="34" w:name="_Toc177115156"/>
      <w:r>
        <w:rPr>
          <w:rFonts w:hint="eastAsia"/>
        </w:rPr>
        <w:t>IPE封装</w:t>
      </w:r>
      <w:bookmarkEnd w:id="34"/>
    </w:p>
    <w:p w14:paraId="0BC3A6B6">
      <w:pPr>
        <w:pStyle w:val="4"/>
      </w:pPr>
      <w:r>
        <w:rPr>
          <w:rFonts w:hint="eastAsia"/>
          <w:lang w:val="en-US" w:eastAsia="zh-CN"/>
        </w:rPr>
        <w:t>本设计中，IPE报头仅采用1个字节，字节的前7位为高层协议报文的类型，最后一位</w:t>
      </w:r>
      <w:r>
        <w:rPr>
          <w:rFonts w:hint="eastAsia"/>
        </w:rPr>
        <w:t>为“1”，</w:t>
      </w:r>
      <w:r>
        <w:rPr>
          <w:rFonts w:hint="eastAsia"/>
          <w:lang w:val="en-US" w:eastAsia="zh-CN"/>
        </w:rPr>
        <w:t>标识</w:t>
      </w:r>
      <w:r>
        <w:rPr>
          <w:rFonts w:hint="eastAsia"/>
        </w:rPr>
        <w:t>该字节为I</w:t>
      </w:r>
      <w:r>
        <w:t>PE</w:t>
      </w:r>
      <w:r>
        <w:rPr>
          <w:rFonts w:hint="eastAsia"/>
        </w:rPr>
        <w:t>报头的最后一个字节</w:t>
      </w:r>
      <w:r>
        <w:rPr>
          <w:rFonts w:hint="eastAsia"/>
          <w:lang w:eastAsia="zh-CN"/>
        </w:rPr>
        <w:t>。</w:t>
      </w:r>
    </w:p>
    <w:p w14:paraId="6BDF39A7">
      <w:pPr>
        <w:pStyle w:val="72"/>
      </w:pPr>
      <w:r>
        <w:object>
          <v:shape id="_x0000_i1041" o:spt="75" type="#_x0000_t75" style="height:24pt;width:169.5pt;" o:ole="t" filled="f" o:preferrelative="t" stroked="f" coordsize="21600,21600">
            <v:path/>
            <v:fill on="f" focussize="0,0"/>
            <v:stroke on="f"/>
            <v:imagedata r:id="rId46" o:title=""/>
            <o:lock v:ext="edit" aspectratio="f"/>
            <w10:wrap type="none"/>
            <w10:anchorlock/>
          </v:shape>
          <o:OLEObject Type="Embed" ProgID="Visio.Drawing.15" ShapeID="_x0000_i1041" DrawAspect="Content" ObjectID="_1468075741" r:id="rId45">
            <o:LockedField>false</o:LockedField>
          </o:OLEObject>
        </w:object>
      </w:r>
    </w:p>
    <w:p w14:paraId="6DB3BBF1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t xml:space="preserve"> </w:t>
      </w:r>
      <w:r>
        <w:t>IPE</w:t>
      </w:r>
      <w:r>
        <w:rPr>
          <w:rFonts w:hint="eastAsia"/>
        </w:rPr>
        <w:t>报头字段规划</w:t>
      </w:r>
    </w:p>
    <w:p w14:paraId="1E4E1BEF">
      <w:pPr>
        <w:pStyle w:val="84"/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 \* ARABIC \s 1 </w:instrText>
      </w:r>
      <w:r>
        <w:rPr>
          <w:rFonts w:hint="eastAsia"/>
        </w:rPr>
        <w:fldChar w:fldCharType="separate"/>
      </w:r>
      <w:r>
        <w:t>1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</w:t>
      </w:r>
      <w:r>
        <w:t>IPE</w:t>
      </w:r>
      <w:r>
        <w:rPr>
          <w:rFonts w:hint="eastAsia"/>
        </w:rPr>
        <w:t>报头字段规划说明</w:t>
      </w:r>
    </w:p>
    <w:tbl>
      <w:tblPr>
        <w:tblStyle w:val="32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1136"/>
        <w:gridCol w:w="5482"/>
      </w:tblGrid>
      <w:tr w14:paraId="3B9628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tblHeader/>
          <w:jc w:val="center"/>
        </w:trPr>
        <w:tc>
          <w:tcPr>
            <w:tcW w:w="140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tl2br w:val="nil"/>
              <w:tr2bl w:val="nil"/>
            </w:tcBorders>
            <w:noWrap/>
          </w:tcPr>
          <w:p w14:paraId="35924F08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字段</w:t>
            </w:r>
          </w:p>
        </w:tc>
        <w:tc>
          <w:tcPr>
            <w:tcW w:w="1136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48EEAA04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长度</w:t>
            </w:r>
          </w:p>
        </w:tc>
        <w:tc>
          <w:tcPr>
            <w:tcW w:w="5482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tl2br w:val="nil"/>
              <w:tr2bl w:val="nil"/>
            </w:tcBorders>
            <w:noWrap/>
          </w:tcPr>
          <w:p w14:paraId="06FD3991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说明</w:t>
            </w:r>
          </w:p>
        </w:tc>
      </w:tr>
      <w:tr w14:paraId="470FD7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401" w:type="dxa"/>
            <w:tcBorders>
              <w:bottom w:val="single" w:color="auto" w:sz="12" w:space="0"/>
            </w:tcBorders>
          </w:tcPr>
          <w:p w14:paraId="06BF73F1">
            <w:pPr>
              <w:pStyle w:val="82"/>
            </w:pPr>
            <w:r>
              <w:rPr>
                <w:rFonts w:hint="eastAsia"/>
              </w:rPr>
              <w:t>P</w:t>
            </w:r>
            <w:r>
              <w:t>KT_TYP</w:t>
            </w:r>
          </w:p>
        </w:tc>
        <w:tc>
          <w:tcPr>
            <w:tcW w:w="1136" w:type="dxa"/>
            <w:tcBorders>
              <w:bottom w:val="single" w:color="auto" w:sz="12" w:space="0"/>
            </w:tcBorders>
          </w:tcPr>
          <w:p w14:paraId="79CF9C5F">
            <w:pPr>
              <w:pStyle w:val="82"/>
            </w:pPr>
            <w:r>
              <w:rPr>
                <w:rFonts w:hint="eastAsia"/>
              </w:rPr>
              <w:t>7</w:t>
            </w:r>
            <w:r>
              <w:t>bit</w:t>
            </w:r>
          </w:p>
        </w:tc>
        <w:tc>
          <w:tcPr>
            <w:tcW w:w="5482" w:type="dxa"/>
            <w:tcBorders>
              <w:bottom w:val="single" w:color="auto" w:sz="12" w:space="0"/>
            </w:tcBorders>
          </w:tcPr>
          <w:p w14:paraId="2CAECEB7">
            <w:pPr>
              <w:pStyle w:val="82"/>
            </w:pPr>
            <w:r>
              <w:rPr>
                <w:rFonts w:hint="eastAsia"/>
              </w:rPr>
              <w:t>指示装载的三层报文的类型。</w:t>
            </w:r>
          </w:p>
          <w:p w14:paraId="493D1307">
            <w:pPr>
              <w:pStyle w:val="82"/>
            </w:pPr>
            <w:r>
              <w:rPr>
                <w:rFonts w:hint="eastAsia"/>
              </w:rPr>
              <w:t>未包含最后一位，I</w:t>
            </w:r>
            <w:r>
              <w:t>Pv4</w:t>
            </w:r>
            <w:r>
              <w:rPr>
                <w:rFonts w:hint="eastAsia"/>
              </w:rPr>
              <w:t>：0x</w:t>
            </w:r>
            <w:r>
              <w:t>20</w:t>
            </w:r>
            <w:r>
              <w:rPr>
                <w:rFonts w:hint="eastAsia"/>
              </w:rPr>
              <w:t>；I</w:t>
            </w:r>
            <w:r>
              <w:t>Pv6</w:t>
            </w:r>
            <w:r>
              <w:rPr>
                <w:rFonts w:hint="eastAsia"/>
              </w:rPr>
              <w:t>：0x</w:t>
            </w:r>
            <w:r>
              <w:t>56</w:t>
            </w:r>
            <w:r>
              <w:rPr>
                <w:rFonts w:hint="eastAsia"/>
              </w:rPr>
              <w:t>。</w:t>
            </w:r>
          </w:p>
        </w:tc>
      </w:tr>
    </w:tbl>
    <w:p w14:paraId="41E9C234">
      <w:pPr>
        <w:pStyle w:val="9"/>
      </w:pPr>
      <w:r>
        <w:rPr>
          <w:rFonts w:hint="eastAsia"/>
        </w:rPr>
        <w:t>出接口编号</w:t>
      </w:r>
    </w:p>
    <w:p w14:paraId="3FCC222D">
      <w:pPr>
        <w:pStyle w:val="4"/>
      </w:pPr>
      <w:r>
        <w:rPr>
          <w:rFonts w:hint="eastAsia"/>
        </w:rPr>
        <w:t>在本系统，每个卫星规划了4条星间链路，即3条激光链路和1条微波链路（或者4条激光链路），对于每个卫星，按照逆时针顺序，从同轨下方开始编号出接口依次为1、2、3、4。</w:t>
      </w:r>
    </w:p>
    <w:p w14:paraId="1547F7A9">
      <w:pPr>
        <w:pStyle w:val="4"/>
      </w:pPr>
    </w:p>
    <w:p w14:paraId="04F4C3AC">
      <w:pPr>
        <w:pStyle w:val="72"/>
      </w:pPr>
      <w:r>
        <w:rPr>
          <w:rFonts w:hint="eastAsia"/>
        </w:rPr>
        <w:object>
          <v:shape id="_x0000_i1042" o:spt="75" type="#_x0000_t75" style="height:403.5pt;width:381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Visio.Drawing.15" ShapeID="_x0000_i1042" DrawAspect="Content" ObjectID="_1468075742" r:id="rId47">
            <o:LockedField>false</o:LockedField>
          </o:OLEObject>
        </w:object>
      </w:r>
    </w:p>
    <w:p w14:paraId="544835CB">
      <w:pPr>
        <w:pStyle w:val="85"/>
        <w:rPr>
          <w:rFonts w:hint="eastAsia"/>
        </w:rPr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t xml:space="preserve"> 卫星出接口编号</w:t>
      </w:r>
    </w:p>
    <w:p w14:paraId="45CB08D0">
      <w:pPr>
        <w:pStyle w:val="7"/>
      </w:pPr>
      <w:bookmarkStart w:id="35" w:name="_Toc177115157"/>
      <w:r>
        <w:rPr>
          <w:rFonts w:hint="eastAsia"/>
        </w:rPr>
        <w:t>EPP封装</w:t>
      </w:r>
      <w:bookmarkEnd w:id="35"/>
    </w:p>
    <w:p w14:paraId="191E0010">
      <w:pPr>
        <w:pStyle w:val="4"/>
      </w:pPr>
      <w:r>
        <w:rPr>
          <w:rFonts w:hint="eastAsia"/>
        </w:rPr>
        <w:t>在4字节报头长度格式中，报头长度占用4个字节长度，报文长度字段占用2个字节，最大可表示65535个字节的EPP报文，除去4字节EPP报头和8字节IPE报头,最大可装载65523字节的IP报文。</w:t>
      </w:r>
    </w:p>
    <w:p w14:paraId="2EF519E4">
      <w:pPr>
        <w:pStyle w:val="72"/>
      </w:pPr>
      <w:r>
        <w:object>
          <v:shape id="_x0000_i1043" o:spt="75" type="#_x0000_t75" style="height:64.5pt;width:150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Visio.Drawing.15" ShapeID="_x0000_i1043" DrawAspect="Content" ObjectID="_1468075743" r:id="rId49">
            <o:LockedField>false</o:LockedField>
          </o:OLEObject>
        </w:object>
      </w:r>
    </w:p>
    <w:p w14:paraId="0BEEFC86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t xml:space="preserve"> EPP 4字节报头长度格式</w:t>
      </w:r>
    </w:p>
    <w:p w14:paraId="6A5A5919">
      <w:pPr>
        <w:pStyle w:val="84"/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 \* ARABIC \s 1 </w:instrText>
      </w:r>
      <w:r>
        <w:rPr>
          <w:rFonts w:hint="eastAsia"/>
        </w:rPr>
        <w:fldChar w:fldCharType="separate"/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EPP 4字节报头长度说明</w:t>
      </w:r>
    </w:p>
    <w:tbl>
      <w:tblPr>
        <w:tblStyle w:val="32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611"/>
        <w:gridCol w:w="1516"/>
        <w:gridCol w:w="4661"/>
      </w:tblGrid>
      <w:tr w14:paraId="2E567D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tblHeader/>
          <w:jc w:val="center"/>
        </w:trPr>
        <w:tc>
          <w:tcPr>
            <w:tcW w:w="168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tl2br w:val="nil"/>
              <w:tr2bl w:val="nil"/>
            </w:tcBorders>
            <w:noWrap/>
          </w:tcPr>
          <w:p w14:paraId="27190BAB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字段</w:t>
            </w:r>
          </w:p>
        </w:tc>
        <w:tc>
          <w:tcPr>
            <w:tcW w:w="611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06E17511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长度</w:t>
            </w:r>
          </w:p>
        </w:tc>
        <w:tc>
          <w:tcPr>
            <w:tcW w:w="1516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1254CDC4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字段值/二进制</w:t>
            </w:r>
          </w:p>
        </w:tc>
        <w:tc>
          <w:tcPr>
            <w:tcW w:w="4661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tl2br w:val="nil"/>
              <w:tr2bl w:val="nil"/>
            </w:tcBorders>
            <w:noWrap/>
          </w:tcPr>
          <w:p w14:paraId="5A66A1B5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说明</w:t>
            </w:r>
          </w:p>
        </w:tc>
      </w:tr>
      <w:tr w14:paraId="648EB9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47274A59">
            <w:pPr>
              <w:pStyle w:val="82"/>
            </w:pPr>
            <w:r>
              <w:rPr>
                <w:rFonts w:hint="eastAsia"/>
              </w:rPr>
              <w:t>版本号</w:t>
            </w:r>
          </w:p>
        </w:tc>
        <w:tc>
          <w:tcPr>
            <w:tcW w:w="611" w:type="dxa"/>
          </w:tcPr>
          <w:p w14:paraId="495C019D">
            <w:pPr>
              <w:pStyle w:val="82"/>
            </w:pPr>
            <w:r>
              <w:rPr>
                <w:rFonts w:hint="eastAsia"/>
              </w:rPr>
              <w:t>3bit</w:t>
            </w:r>
          </w:p>
        </w:tc>
        <w:tc>
          <w:tcPr>
            <w:tcW w:w="1516" w:type="dxa"/>
          </w:tcPr>
          <w:p w14:paraId="69B6B03C">
            <w:pPr>
              <w:pStyle w:val="82"/>
            </w:pPr>
            <w:r>
              <w:rPr>
                <w:rFonts w:hint="eastAsia"/>
              </w:rPr>
              <w:t>111</w:t>
            </w:r>
          </w:p>
        </w:tc>
        <w:tc>
          <w:tcPr>
            <w:tcW w:w="4661" w:type="dxa"/>
          </w:tcPr>
          <w:p w14:paraId="2093E396">
            <w:pPr>
              <w:pStyle w:val="82"/>
            </w:pPr>
            <w:r>
              <w:rPr>
                <w:rFonts w:hint="eastAsia"/>
              </w:rPr>
              <w:t>EPP协议，该字段值为“111”。</w:t>
            </w:r>
          </w:p>
        </w:tc>
      </w:tr>
      <w:tr w14:paraId="5D60F0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5274EC12">
            <w:pPr>
              <w:pStyle w:val="82"/>
            </w:pPr>
            <w:r>
              <w:rPr>
                <w:rFonts w:hint="eastAsia"/>
              </w:rPr>
              <w:t>协议标识符</w:t>
            </w:r>
          </w:p>
        </w:tc>
        <w:tc>
          <w:tcPr>
            <w:tcW w:w="611" w:type="dxa"/>
          </w:tcPr>
          <w:p w14:paraId="6A91556A">
            <w:pPr>
              <w:pStyle w:val="82"/>
            </w:pPr>
            <w:r>
              <w:rPr>
                <w:rFonts w:hint="eastAsia"/>
              </w:rPr>
              <w:t>3</w:t>
            </w:r>
            <w:r>
              <w:t>bit</w:t>
            </w:r>
          </w:p>
        </w:tc>
        <w:tc>
          <w:tcPr>
            <w:tcW w:w="1516" w:type="dxa"/>
          </w:tcPr>
          <w:p w14:paraId="6486AC68">
            <w:pPr>
              <w:pStyle w:val="82"/>
            </w:pPr>
            <w:r>
              <w:rPr>
                <w:rFonts w:hint="eastAsia"/>
              </w:rPr>
              <w:t>101</w:t>
            </w:r>
          </w:p>
        </w:tc>
        <w:tc>
          <w:tcPr>
            <w:tcW w:w="4661" w:type="dxa"/>
          </w:tcPr>
          <w:p w14:paraId="1D90F703">
            <w:pPr>
              <w:pStyle w:val="82"/>
            </w:pPr>
            <w:r>
              <w:rPr>
                <w:rFonts w:hint="eastAsia"/>
              </w:rPr>
              <w:t>该字段标识上一层的协议，对于IPE报文，值为“101”。</w:t>
            </w:r>
          </w:p>
        </w:tc>
      </w:tr>
      <w:tr w14:paraId="005852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6B01CF18">
            <w:pPr>
              <w:pStyle w:val="82"/>
            </w:pPr>
            <w:r>
              <w:rPr>
                <w:rFonts w:hint="eastAsia"/>
              </w:rPr>
              <w:t>长度字段的长度</w:t>
            </w:r>
          </w:p>
        </w:tc>
        <w:tc>
          <w:tcPr>
            <w:tcW w:w="611" w:type="dxa"/>
          </w:tcPr>
          <w:p w14:paraId="3F72AC87">
            <w:pPr>
              <w:pStyle w:val="82"/>
            </w:pPr>
            <w:r>
              <w:rPr>
                <w:rFonts w:hint="eastAsia"/>
              </w:rPr>
              <w:t>2</w:t>
            </w:r>
            <w:r>
              <w:t>bit</w:t>
            </w:r>
          </w:p>
        </w:tc>
        <w:tc>
          <w:tcPr>
            <w:tcW w:w="1516" w:type="dxa"/>
          </w:tcPr>
          <w:p w14:paraId="2D518498">
            <w:pPr>
              <w:pStyle w:val="82"/>
            </w:pPr>
            <w:r>
              <w:rPr>
                <w:rFonts w:hint="eastAsia"/>
              </w:rPr>
              <w:t>10</w:t>
            </w:r>
          </w:p>
        </w:tc>
        <w:tc>
          <w:tcPr>
            <w:tcW w:w="4661" w:type="dxa"/>
          </w:tcPr>
          <w:p w14:paraId="2B5894FC">
            <w:pPr>
              <w:pStyle w:val="82"/>
            </w:pPr>
            <w:r>
              <w:rPr>
                <w:rFonts w:hint="eastAsia"/>
              </w:rPr>
              <w:t>4字节报头长度，此处值为“10”。</w:t>
            </w:r>
          </w:p>
        </w:tc>
      </w:tr>
      <w:tr w14:paraId="7F2131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57583EC2">
            <w:pPr>
              <w:pStyle w:val="82"/>
            </w:pPr>
            <w:r>
              <w:rPr>
                <w:rFonts w:hint="eastAsia"/>
              </w:rPr>
              <w:t>用户自定义</w:t>
            </w:r>
          </w:p>
        </w:tc>
        <w:tc>
          <w:tcPr>
            <w:tcW w:w="611" w:type="dxa"/>
          </w:tcPr>
          <w:p w14:paraId="6F6C8CB0">
            <w:pPr>
              <w:pStyle w:val="82"/>
            </w:pPr>
            <w:r>
              <w:rPr>
                <w:rFonts w:hint="eastAsia"/>
              </w:rPr>
              <w:t>4bit</w:t>
            </w:r>
          </w:p>
        </w:tc>
        <w:tc>
          <w:tcPr>
            <w:tcW w:w="1516" w:type="dxa"/>
          </w:tcPr>
          <w:p w14:paraId="325E3FF6">
            <w:pPr>
              <w:pStyle w:val="8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0000</w:t>
            </w:r>
          </w:p>
        </w:tc>
        <w:tc>
          <w:tcPr>
            <w:tcW w:w="4661" w:type="dxa"/>
          </w:tcPr>
          <w:p w14:paraId="64C89C4D">
            <w:pPr>
              <w:pStyle w:val="82"/>
            </w:pPr>
            <w:r>
              <w:rPr>
                <w:rFonts w:hint="eastAsia"/>
              </w:rPr>
              <w:t>暂未用，设为“0000” 。</w:t>
            </w:r>
          </w:p>
        </w:tc>
      </w:tr>
      <w:tr w14:paraId="53CF7B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376D566D">
            <w:pPr>
              <w:pStyle w:val="82"/>
            </w:pPr>
            <w:r>
              <w:rPr>
                <w:rFonts w:hint="eastAsia"/>
              </w:rPr>
              <w:t>协议标识符扩展</w:t>
            </w:r>
          </w:p>
        </w:tc>
        <w:tc>
          <w:tcPr>
            <w:tcW w:w="611" w:type="dxa"/>
          </w:tcPr>
          <w:p w14:paraId="78996C62">
            <w:pPr>
              <w:pStyle w:val="82"/>
            </w:pPr>
            <w:r>
              <w:rPr>
                <w:rFonts w:hint="eastAsia"/>
              </w:rPr>
              <w:t>4bit</w:t>
            </w:r>
          </w:p>
        </w:tc>
        <w:tc>
          <w:tcPr>
            <w:tcW w:w="1516" w:type="dxa"/>
          </w:tcPr>
          <w:p w14:paraId="30DFF52C">
            <w:pPr>
              <w:pStyle w:val="82"/>
            </w:pPr>
            <w:r>
              <w:rPr>
                <w:rFonts w:hint="eastAsia"/>
              </w:rPr>
              <w:t>0000</w:t>
            </w:r>
          </w:p>
        </w:tc>
        <w:tc>
          <w:tcPr>
            <w:tcW w:w="4661" w:type="dxa"/>
          </w:tcPr>
          <w:p w14:paraId="1ACD5F58">
            <w:pPr>
              <w:pStyle w:val="82"/>
            </w:pPr>
            <w:r>
              <w:rPr>
                <w:rFonts w:hint="eastAsia"/>
              </w:rPr>
              <w:t>暂未用，设为“0000” 。</w:t>
            </w:r>
          </w:p>
        </w:tc>
      </w:tr>
      <w:tr w14:paraId="01BA86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  <w:tcBorders>
              <w:bottom w:val="single" w:color="auto" w:sz="12" w:space="0"/>
            </w:tcBorders>
          </w:tcPr>
          <w:p w14:paraId="59D2EFF8">
            <w:pPr>
              <w:pStyle w:val="82"/>
            </w:pPr>
            <w:r>
              <w:rPr>
                <w:rFonts w:hint="eastAsia"/>
              </w:rPr>
              <w:t>报文长度</w:t>
            </w:r>
          </w:p>
        </w:tc>
        <w:tc>
          <w:tcPr>
            <w:tcW w:w="611" w:type="dxa"/>
            <w:tcBorders>
              <w:bottom w:val="single" w:color="auto" w:sz="12" w:space="0"/>
            </w:tcBorders>
          </w:tcPr>
          <w:p w14:paraId="0C4CDD01">
            <w:pPr>
              <w:pStyle w:val="82"/>
            </w:pPr>
            <w:r>
              <w:rPr>
                <w:rFonts w:hint="eastAsia"/>
              </w:rPr>
              <w:t>16bit</w:t>
            </w:r>
          </w:p>
        </w:tc>
        <w:tc>
          <w:tcPr>
            <w:tcW w:w="1516" w:type="dxa"/>
            <w:tcBorders>
              <w:bottom w:val="single" w:color="auto" w:sz="12" w:space="0"/>
            </w:tcBorders>
          </w:tcPr>
          <w:p w14:paraId="7BC73604">
            <w:pPr>
              <w:pStyle w:val="82"/>
            </w:pPr>
          </w:p>
        </w:tc>
        <w:tc>
          <w:tcPr>
            <w:tcW w:w="4661" w:type="dxa"/>
            <w:tcBorders>
              <w:bottom w:val="single" w:color="auto" w:sz="12" w:space="0"/>
            </w:tcBorders>
          </w:tcPr>
          <w:p w14:paraId="247042AC">
            <w:pPr>
              <w:pStyle w:val="8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该字段长度表示EPP报头4字节、</w:t>
            </w:r>
            <w:r>
              <w:t>IPE报头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字节和I</w:t>
            </w:r>
            <w:r>
              <w:t>P</w:t>
            </w:r>
            <w:r>
              <w:rPr>
                <w:rFonts w:hint="eastAsia"/>
              </w:rPr>
              <w:t>报文长度三者的长度总和，最大表示可装载65523个字节的IP报文。</w:t>
            </w:r>
          </w:p>
        </w:tc>
      </w:tr>
    </w:tbl>
    <w:p w14:paraId="6BD3D572">
      <w:pPr>
        <w:pStyle w:val="7"/>
      </w:pPr>
      <w:bookmarkStart w:id="36" w:name="_Toc177115158"/>
      <w:r>
        <w:rPr>
          <w:rFonts w:hint="eastAsia"/>
        </w:rPr>
        <w:t>USLP封装</w:t>
      </w:r>
      <w:bookmarkEnd w:id="36"/>
    </w:p>
    <w:p w14:paraId="38B07379">
      <w:pPr>
        <w:pStyle w:val="4"/>
      </w:pPr>
      <w:r>
        <w:rPr>
          <w:rFonts w:hint="eastAsia"/>
        </w:rPr>
        <w:t>本设计中，USLP帧头长度选用非截断式的8字节。帧头帧尾格式如下。</w:t>
      </w:r>
    </w:p>
    <w:p w14:paraId="644AB981">
      <w:pPr>
        <w:pStyle w:val="72"/>
      </w:pPr>
      <w:r>
        <w:object>
          <v:shape id="_x0000_i1044" o:spt="75" type="#_x0000_t75" style="height:408.75pt;width:167.2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f"/>
            <w10:wrap type="none"/>
            <w10:anchorlock/>
          </v:shape>
          <o:OLEObject Type="Embed" ProgID="Visio.Drawing.15" ShapeID="_x0000_i1044" DrawAspect="Content" ObjectID="_1468075744" r:id="rId51">
            <o:LockedField>false</o:LockedField>
          </o:OLEObject>
        </w:object>
      </w:r>
    </w:p>
    <w:p w14:paraId="21BB6DD2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9</w:t>
      </w:r>
      <w:r>
        <w:rPr>
          <w:rFonts w:hint="eastAsia"/>
        </w:rPr>
        <w:fldChar w:fldCharType="end"/>
      </w:r>
      <w:r>
        <w:rPr>
          <w:rFonts w:hint="eastAsia"/>
        </w:rPr>
        <w:t xml:space="preserve"> USLP帧头和帧尾格式</w:t>
      </w:r>
    </w:p>
    <w:p w14:paraId="2E70D09B">
      <w:pPr>
        <w:pStyle w:val="84"/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 \* ARABIC \s 1 </w:instrText>
      </w:r>
      <w:r>
        <w:rPr>
          <w:rFonts w:hint="eastAsia"/>
        </w:rPr>
        <w:fldChar w:fldCharType="separate"/>
      </w:r>
      <w:r>
        <w:t>5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USLP 帧头和尾说明</w:t>
      </w:r>
    </w:p>
    <w:tbl>
      <w:tblPr>
        <w:tblStyle w:val="32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916"/>
        <w:gridCol w:w="1598"/>
        <w:gridCol w:w="4520"/>
      </w:tblGrid>
      <w:tr w14:paraId="5C9759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tblHeader/>
          <w:jc w:val="center"/>
        </w:trPr>
        <w:tc>
          <w:tcPr>
            <w:tcW w:w="168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tl2br w:val="nil"/>
              <w:tr2bl w:val="nil"/>
            </w:tcBorders>
            <w:noWrap/>
          </w:tcPr>
          <w:p w14:paraId="38FF9071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字段</w:t>
            </w:r>
          </w:p>
        </w:tc>
        <w:tc>
          <w:tcPr>
            <w:tcW w:w="611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3F55197D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长度</w:t>
            </w:r>
          </w:p>
        </w:tc>
        <w:tc>
          <w:tcPr>
            <w:tcW w:w="1657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3EBFB377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字段值/二进制</w:t>
            </w:r>
          </w:p>
        </w:tc>
        <w:tc>
          <w:tcPr>
            <w:tcW w:w="4520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tl2br w:val="nil"/>
              <w:tr2bl w:val="nil"/>
            </w:tcBorders>
            <w:noWrap/>
          </w:tcPr>
          <w:p w14:paraId="5B54BB03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说明</w:t>
            </w:r>
          </w:p>
        </w:tc>
      </w:tr>
      <w:tr w14:paraId="15BAFA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355817CB">
            <w:pPr>
              <w:pStyle w:val="82"/>
            </w:pPr>
            <w:r>
              <w:rPr>
                <w:rFonts w:hint="eastAsia"/>
              </w:rPr>
              <w:t>传输帧版本号</w:t>
            </w:r>
          </w:p>
        </w:tc>
        <w:tc>
          <w:tcPr>
            <w:tcW w:w="611" w:type="dxa"/>
          </w:tcPr>
          <w:p w14:paraId="0F958756">
            <w:pPr>
              <w:pStyle w:val="82"/>
            </w:pPr>
            <w:r>
              <w:rPr>
                <w:rFonts w:hint="eastAsia"/>
              </w:rPr>
              <w:t>4bit</w:t>
            </w:r>
          </w:p>
        </w:tc>
        <w:tc>
          <w:tcPr>
            <w:tcW w:w="1657" w:type="dxa"/>
          </w:tcPr>
          <w:p w14:paraId="7675B7BE">
            <w:pPr>
              <w:pStyle w:val="82"/>
            </w:pPr>
            <w:r>
              <w:rPr>
                <w:rFonts w:hint="eastAsia"/>
              </w:rPr>
              <w:t>1100</w:t>
            </w:r>
          </w:p>
        </w:tc>
        <w:tc>
          <w:tcPr>
            <w:tcW w:w="4520" w:type="dxa"/>
          </w:tcPr>
          <w:p w14:paraId="1D16FB7F">
            <w:pPr>
              <w:pStyle w:val="82"/>
            </w:pPr>
            <w:r>
              <w:rPr>
                <w:rFonts w:hint="eastAsia"/>
              </w:rPr>
              <w:t>USLP协议，该字段值为“1100”；</w:t>
            </w:r>
          </w:p>
        </w:tc>
      </w:tr>
      <w:tr w14:paraId="667ED0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411D3FCF">
            <w:pPr>
              <w:pStyle w:val="82"/>
            </w:pPr>
            <w:r>
              <w:rPr>
                <w:rFonts w:hint="eastAsia"/>
              </w:rPr>
              <w:t>航天器SCID</w:t>
            </w:r>
          </w:p>
        </w:tc>
        <w:tc>
          <w:tcPr>
            <w:tcW w:w="611" w:type="dxa"/>
          </w:tcPr>
          <w:p w14:paraId="1A25B467">
            <w:pPr>
              <w:pStyle w:val="82"/>
            </w:pPr>
            <w:r>
              <w:rPr>
                <w:rFonts w:hint="eastAsia"/>
              </w:rPr>
              <w:t>16</w:t>
            </w:r>
            <w:r>
              <w:t>bit</w:t>
            </w:r>
          </w:p>
        </w:tc>
        <w:tc>
          <w:tcPr>
            <w:tcW w:w="1657" w:type="dxa"/>
          </w:tcPr>
          <w:p w14:paraId="3386A2D8">
            <w:pPr>
              <w:pStyle w:val="82"/>
            </w:pPr>
          </w:p>
        </w:tc>
        <w:tc>
          <w:tcPr>
            <w:tcW w:w="4520" w:type="dxa"/>
          </w:tcPr>
          <w:p w14:paraId="4F2200A0">
            <w:pPr>
              <w:pStyle w:val="82"/>
            </w:pPr>
            <w:r>
              <w:rPr>
                <w:rFonts w:hint="eastAsia"/>
              </w:rPr>
              <w:t>航天器/卫星SCID前4位表示卫星代际+卫星供应商识别，后 12位表示从</w:t>
            </w:r>
            <w:r>
              <w:t>1</w:t>
            </w:r>
            <w:r>
              <w:rPr>
                <w:rFonts w:hint="eastAsia"/>
              </w:rPr>
              <w:t>号开始递增的卫星编号。</w:t>
            </w:r>
          </w:p>
        </w:tc>
      </w:tr>
      <w:tr w14:paraId="14F0DD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2A20A1B5">
            <w:pPr>
              <w:pStyle w:val="82"/>
            </w:pPr>
            <w:r>
              <w:rPr>
                <w:rFonts w:hint="eastAsia"/>
              </w:rPr>
              <w:t>源/宿ID指示</w:t>
            </w:r>
          </w:p>
        </w:tc>
        <w:tc>
          <w:tcPr>
            <w:tcW w:w="611" w:type="dxa"/>
          </w:tcPr>
          <w:p w14:paraId="40E85F4A">
            <w:pPr>
              <w:pStyle w:val="82"/>
            </w:pPr>
            <w:r>
              <w:rPr>
                <w:rFonts w:hint="eastAsia"/>
              </w:rPr>
              <w:t>1</w:t>
            </w:r>
            <w:r>
              <w:t>bit</w:t>
            </w:r>
          </w:p>
        </w:tc>
        <w:tc>
          <w:tcPr>
            <w:tcW w:w="1657" w:type="dxa"/>
          </w:tcPr>
          <w:p w14:paraId="2D9C7F1D">
            <w:pPr>
              <w:pStyle w:val="82"/>
            </w:pPr>
            <w:r>
              <w:rPr>
                <w:rFonts w:hint="eastAsia"/>
              </w:rPr>
              <w:t>0</w:t>
            </w:r>
          </w:p>
        </w:tc>
        <w:tc>
          <w:tcPr>
            <w:tcW w:w="4520" w:type="dxa"/>
          </w:tcPr>
          <w:p w14:paraId="4A673DF1">
            <w:pPr>
              <w:pStyle w:val="82"/>
              <w:rPr>
                <w:rFonts w:hint="eastAsia"/>
              </w:rPr>
            </w:pPr>
            <w:r>
              <w:rPr>
                <w:rFonts w:hint="eastAsia"/>
              </w:rPr>
              <w:t>“0”表示SCID字段的值是传输帧的源，“1” 表示 SCID字段的值是传输帧的宿。</w:t>
            </w:r>
          </w:p>
          <w:p w14:paraId="67C53E38">
            <w:pPr>
              <w:pStyle w:val="8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此处固定为“0”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表示源航天器的物理地址。</w:t>
            </w:r>
          </w:p>
        </w:tc>
      </w:tr>
      <w:tr w14:paraId="5C90D8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776EA508">
            <w:pPr>
              <w:pStyle w:val="82"/>
            </w:pPr>
            <w:r>
              <w:rPr>
                <w:rFonts w:hint="eastAsia"/>
              </w:rPr>
              <w:t>VCID</w:t>
            </w:r>
          </w:p>
        </w:tc>
        <w:tc>
          <w:tcPr>
            <w:tcW w:w="611" w:type="dxa"/>
          </w:tcPr>
          <w:p w14:paraId="6ABE17D1">
            <w:pPr>
              <w:pStyle w:val="82"/>
            </w:pPr>
            <w:r>
              <w:rPr>
                <w:rFonts w:hint="eastAsia"/>
              </w:rPr>
              <w:t>6bit</w:t>
            </w:r>
          </w:p>
        </w:tc>
        <w:tc>
          <w:tcPr>
            <w:tcW w:w="1657" w:type="dxa"/>
          </w:tcPr>
          <w:p w14:paraId="19A4AD21">
            <w:pPr>
              <w:pStyle w:val="82"/>
            </w:pPr>
          </w:p>
        </w:tc>
        <w:tc>
          <w:tcPr>
            <w:tcW w:w="4520" w:type="dxa"/>
          </w:tcPr>
          <w:p w14:paraId="5D929CA9">
            <w:pPr>
              <w:pStyle w:val="82"/>
            </w:pPr>
            <w:r>
              <w:rPr>
                <w:rFonts w:hint="eastAsia"/>
              </w:rPr>
              <w:t>最多可支持64个VC，VCID划分与遥控TC帧。</w:t>
            </w:r>
          </w:p>
        </w:tc>
      </w:tr>
      <w:tr w14:paraId="1F5F90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3BD9653F">
            <w:pPr>
              <w:pStyle w:val="82"/>
            </w:pPr>
            <w:r>
              <w:rPr>
                <w:rFonts w:hint="eastAsia"/>
              </w:rPr>
              <w:t>MAPID</w:t>
            </w:r>
          </w:p>
        </w:tc>
        <w:tc>
          <w:tcPr>
            <w:tcW w:w="611" w:type="dxa"/>
          </w:tcPr>
          <w:p w14:paraId="1E0DEDA4">
            <w:pPr>
              <w:pStyle w:val="82"/>
            </w:pPr>
            <w:r>
              <w:rPr>
                <w:rFonts w:hint="eastAsia"/>
              </w:rPr>
              <w:t>4bit</w:t>
            </w:r>
          </w:p>
        </w:tc>
        <w:tc>
          <w:tcPr>
            <w:tcW w:w="1657" w:type="dxa"/>
          </w:tcPr>
          <w:p w14:paraId="1762788F">
            <w:pPr>
              <w:pStyle w:val="82"/>
            </w:pPr>
            <w:r>
              <w:rPr>
                <w:rFonts w:hint="eastAsia"/>
              </w:rPr>
              <w:t>0000</w:t>
            </w:r>
          </w:p>
        </w:tc>
        <w:tc>
          <w:tcPr>
            <w:tcW w:w="4520" w:type="dxa"/>
          </w:tcPr>
          <w:p w14:paraId="37B7C078">
            <w:pPr>
              <w:pStyle w:val="82"/>
            </w:pPr>
            <w:r>
              <w:rPr>
                <w:rFonts w:hint="eastAsia"/>
              </w:rPr>
              <w:t>最多可支持16个MAP(</w:t>
            </w:r>
            <w:r>
              <w:t>Multiplexer Access Points</w:t>
            </w:r>
            <w:r>
              <w:rPr>
                <w:rFonts w:hint="eastAsia"/>
              </w:rPr>
              <w:t>,多路复用接入点) 。此处固定为“0000”。</w:t>
            </w:r>
          </w:p>
        </w:tc>
      </w:tr>
      <w:tr w14:paraId="46AC42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30287E2E">
            <w:pPr>
              <w:pStyle w:val="82"/>
            </w:pPr>
            <w:r>
              <w:rPr>
                <w:rFonts w:hint="eastAsia"/>
              </w:rPr>
              <w:t>主导头结束标志</w:t>
            </w:r>
          </w:p>
        </w:tc>
        <w:tc>
          <w:tcPr>
            <w:tcW w:w="611" w:type="dxa"/>
          </w:tcPr>
          <w:p w14:paraId="1C7D75CB">
            <w:pPr>
              <w:pStyle w:val="82"/>
            </w:pPr>
            <w:r>
              <w:rPr>
                <w:rFonts w:hint="eastAsia"/>
              </w:rPr>
              <w:t>1bit</w:t>
            </w:r>
          </w:p>
        </w:tc>
        <w:tc>
          <w:tcPr>
            <w:tcW w:w="1657" w:type="dxa"/>
          </w:tcPr>
          <w:p w14:paraId="141CA060">
            <w:pPr>
              <w:pStyle w:val="82"/>
            </w:pPr>
            <w:r>
              <w:rPr>
                <w:rFonts w:hint="eastAsia"/>
              </w:rPr>
              <w:t>0</w:t>
            </w:r>
          </w:p>
        </w:tc>
        <w:tc>
          <w:tcPr>
            <w:tcW w:w="4520" w:type="dxa"/>
          </w:tcPr>
          <w:p w14:paraId="29413C1F">
            <w:pPr>
              <w:pStyle w:val="82"/>
            </w:pPr>
            <w:r>
              <w:rPr>
                <w:rFonts w:hint="eastAsia"/>
              </w:rPr>
              <w:t>填“0”，表示不截断主导头</w:t>
            </w:r>
          </w:p>
        </w:tc>
      </w:tr>
      <w:tr w14:paraId="06C94B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597C851E">
            <w:pPr>
              <w:pStyle w:val="82"/>
            </w:pPr>
            <w:r>
              <w:rPr>
                <w:rFonts w:hint="eastAsia"/>
              </w:rPr>
              <w:t>帧长</w:t>
            </w:r>
          </w:p>
        </w:tc>
        <w:tc>
          <w:tcPr>
            <w:tcW w:w="611" w:type="dxa"/>
          </w:tcPr>
          <w:p w14:paraId="190BBAF9">
            <w:pPr>
              <w:pStyle w:val="82"/>
            </w:pPr>
            <w:r>
              <w:rPr>
                <w:rFonts w:hint="eastAsia"/>
              </w:rPr>
              <w:t>16bit</w:t>
            </w:r>
          </w:p>
        </w:tc>
        <w:tc>
          <w:tcPr>
            <w:tcW w:w="1657" w:type="dxa"/>
          </w:tcPr>
          <w:p w14:paraId="7210AB96">
            <w:pPr>
              <w:pStyle w:val="82"/>
            </w:pPr>
            <w:r>
              <w:rPr>
                <w:rFonts w:hint="eastAsia"/>
              </w:rPr>
              <w:t>帧字节总数减1，</w:t>
            </w:r>
          </w:p>
          <w:p w14:paraId="04937E20">
            <w:pPr>
              <w:pStyle w:val="82"/>
            </w:pPr>
            <w:r>
              <w:rPr>
                <w:rFonts w:hint="eastAsia"/>
              </w:rPr>
              <w:t>0x037b(892-1)</w:t>
            </w:r>
          </w:p>
        </w:tc>
        <w:tc>
          <w:tcPr>
            <w:tcW w:w="4520" w:type="dxa"/>
          </w:tcPr>
          <w:p w14:paraId="295A4301">
            <w:pPr>
              <w:pStyle w:val="82"/>
            </w:pPr>
            <w:r>
              <w:rPr>
                <w:rFonts w:hint="eastAsia"/>
              </w:rPr>
              <w:t>帧长计数方式为帧字节总数减1，帧字节总数是从帧主导头首字节到帧尾FECF末字节。此处填写值为帧字节数减1。</w:t>
            </w:r>
          </w:p>
        </w:tc>
      </w:tr>
      <w:tr w14:paraId="3608C3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736B6B59">
            <w:pPr>
              <w:pStyle w:val="82"/>
            </w:pPr>
            <w:r>
              <w:rPr>
                <w:rFonts w:hint="eastAsia"/>
              </w:rPr>
              <w:t>Bypass/Sequence Flag</w:t>
            </w:r>
          </w:p>
        </w:tc>
        <w:tc>
          <w:tcPr>
            <w:tcW w:w="611" w:type="dxa"/>
          </w:tcPr>
          <w:p w14:paraId="7B021F6D">
            <w:pPr>
              <w:pStyle w:val="82"/>
            </w:pPr>
            <w:r>
              <w:rPr>
                <w:rFonts w:hint="eastAsia"/>
              </w:rPr>
              <w:t>1bit</w:t>
            </w:r>
          </w:p>
        </w:tc>
        <w:tc>
          <w:tcPr>
            <w:tcW w:w="1657" w:type="dxa"/>
          </w:tcPr>
          <w:p w14:paraId="1B7CA098">
            <w:pPr>
              <w:pStyle w:val="82"/>
            </w:pPr>
            <w:r>
              <w:rPr>
                <w:rFonts w:hint="eastAsia"/>
              </w:rPr>
              <w:t>0</w:t>
            </w:r>
          </w:p>
        </w:tc>
        <w:tc>
          <w:tcPr>
            <w:tcW w:w="4520" w:type="dxa"/>
          </w:tcPr>
          <w:p w14:paraId="1729B4C6">
            <w:pPr>
              <w:pStyle w:val="82"/>
            </w:pPr>
            <w:r>
              <w:rPr>
                <w:rFonts w:hint="eastAsia"/>
              </w:rPr>
              <w:t>表示是否采用通信操作规程COP-1协议。取“0”指定该传输帧是序列控制的帧，接收端对该帧常规检查；取值“1”指定该传输帧是便捷帧，绕过帧检查。此处固定为“0”。</w:t>
            </w:r>
          </w:p>
        </w:tc>
      </w:tr>
      <w:tr w14:paraId="4342F9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093A5E96">
            <w:pPr>
              <w:pStyle w:val="82"/>
            </w:pPr>
            <w:r>
              <w:rPr>
                <w:rFonts w:hint="eastAsia"/>
              </w:rPr>
              <w:t>协议控制命令Flag</w:t>
            </w:r>
          </w:p>
        </w:tc>
        <w:tc>
          <w:tcPr>
            <w:tcW w:w="611" w:type="dxa"/>
          </w:tcPr>
          <w:p w14:paraId="1F4B57A4">
            <w:pPr>
              <w:pStyle w:val="82"/>
            </w:pPr>
            <w:r>
              <w:rPr>
                <w:rFonts w:hint="eastAsia"/>
              </w:rPr>
              <w:t>1bit</w:t>
            </w:r>
          </w:p>
        </w:tc>
        <w:tc>
          <w:tcPr>
            <w:tcW w:w="1657" w:type="dxa"/>
          </w:tcPr>
          <w:p w14:paraId="286DFC6E">
            <w:pPr>
              <w:pStyle w:val="82"/>
            </w:pPr>
            <w:r>
              <w:rPr>
                <w:rFonts w:hint="eastAsia"/>
              </w:rPr>
              <w:t>0</w:t>
            </w:r>
          </w:p>
        </w:tc>
        <w:tc>
          <w:tcPr>
            <w:tcW w:w="4520" w:type="dxa"/>
          </w:tcPr>
          <w:p w14:paraId="1E79D73D">
            <w:pPr>
              <w:pStyle w:val="82"/>
            </w:pPr>
            <w:r>
              <w:rPr>
                <w:rFonts w:hint="eastAsia"/>
              </w:rPr>
              <w:t>表示数据域是由COP-1使用还是用户使用。取值“0”表明的是是用户数据，取值“1”表明的是COP-1协议控制指令。此处固定为“0”。</w:t>
            </w:r>
          </w:p>
        </w:tc>
      </w:tr>
      <w:tr w14:paraId="7C8A39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7B65DD3E">
            <w:pPr>
              <w:pStyle w:val="82"/>
            </w:pPr>
            <w:r>
              <w:rPr>
                <w:rFonts w:hint="eastAsia"/>
              </w:rPr>
              <w:t>预留字段</w:t>
            </w:r>
          </w:p>
        </w:tc>
        <w:tc>
          <w:tcPr>
            <w:tcW w:w="611" w:type="dxa"/>
          </w:tcPr>
          <w:p w14:paraId="0DE5A004">
            <w:pPr>
              <w:pStyle w:val="82"/>
            </w:pPr>
            <w:r>
              <w:rPr>
                <w:rFonts w:hint="eastAsia"/>
              </w:rPr>
              <w:t>2bit</w:t>
            </w:r>
          </w:p>
        </w:tc>
        <w:tc>
          <w:tcPr>
            <w:tcW w:w="1657" w:type="dxa"/>
          </w:tcPr>
          <w:p w14:paraId="3D38831C">
            <w:pPr>
              <w:pStyle w:val="82"/>
            </w:pPr>
            <w:r>
              <w:rPr>
                <w:rFonts w:hint="eastAsia"/>
              </w:rPr>
              <w:t>00</w:t>
            </w:r>
          </w:p>
        </w:tc>
        <w:tc>
          <w:tcPr>
            <w:tcW w:w="4520" w:type="dxa"/>
          </w:tcPr>
          <w:p w14:paraId="3C0A91DA">
            <w:pPr>
              <w:pStyle w:val="82"/>
            </w:pPr>
            <w:r>
              <w:rPr>
                <w:rFonts w:hint="eastAsia"/>
              </w:rPr>
              <w:t>填“00”</w:t>
            </w:r>
          </w:p>
        </w:tc>
      </w:tr>
      <w:tr w14:paraId="284E80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5DC80844">
            <w:pPr>
              <w:pStyle w:val="82"/>
            </w:pPr>
            <w:r>
              <w:rPr>
                <w:rFonts w:hint="eastAsia"/>
              </w:rPr>
              <w:t>OCF Flag</w:t>
            </w:r>
          </w:p>
        </w:tc>
        <w:tc>
          <w:tcPr>
            <w:tcW w:w="611" w:type="dxa"/>
          </w:tcPr>
          <w:p w14:paraId="5DF20439">
            <w:pPr>
              <w:pStyle w:val="82"/>
            </w:pPr>
            <w:r>
              <w:rPr>
                <w:rFonts w:hint="eastAsia"/>
              </w:rPr>
              <w:t>1bit</w:t>
            </w:r>
          </w:p>
        </w:tc>
        <w:tc>
          <w:tcPr>
            <w:tcW w:w="1657" w:type="dxa"/>
          </w:tcPr>
          <w:p w14:paraId="2898F1A6">
            <w:pPr>
              <w:pStyle w:val="82"/>
            </w:pPr>
            <w:r>
              <w:rPr>
                <w:rFonts w:hint="eastAsia"/>
              </w:rPr>
              <w:t>0</w:t>
            </w:r>
          </w:p>
        </w:tc>
        <w:tc>
          <w:tcPr>
            <w:tcW w:w="4520" w:type="dxa"/>
          </w:tcPr>
          <w:p w14:paraId="0E7B3936">
            <w:pPr>
              <w:pStyle w:val="82"/>
            </w:pPr>
            <w:r>
              <w:rPr>
                <w:rFonts w:hint="eastAsia"/>
              </w:rPr>
              <w:t>此处填“0”，无OCF。表示帧尾是否存在操作控制字段</w:t>
            </w:r>
            <w:r>
              <w:t>OCF</w:t>
            </w:r>
            <w:r>
              <w:rPr>
                <w:rFonts w:hint="eastAsia"/>
              </w:rPr>
              <w:t>字段。取值</w:t>
            </w:r>
            <w:r>
              <w:t>“0”</w:t>
            </w:r>
            <w:r>
              <w:rPr>
                <w:rFonts w:hint="eastAsia"/>
              </w:rPr>
              <w:t>表示无</w:t>
            </w:r>
            <w:r>
              <w:t>OCF</w:t>
            </w:r>
            <w:r>
              <w:rPr>
                <w:rFonts w:hint="eastAsia"/>
              </w:rPr>
              <w:t>，取值</w:t>
            </w:r>
            <w:r>
              <w:t>“1”</w:t>
            </w:r>
            <w:r>
              <w:rPr>
                <w:rFonts w:hint="eastAsia"/>
              </w:rPr>
              <w:t>表示存在</w:t>
            </w:r>
            <w:r>
              <w:t>OCF</w:t>
            </w:r>
            <w:r>
              <w:rPr>
                <w:rFonts w:hint="eastAsia"/>
              </w:rPr>
              <w:t>。</w:t>
            </w:r>
          </w:p>
        </w:tc>
      </w:tr>
      <w:tr w14:paraId="44D06E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6697CA42">
            <w:pPr>
              <w:pStyle w:val="82"/>
            </w:pPr>
            <w:r>
              <w:rPr>
                <w:rFonts w:hint="eastAsia"/>
              </w:rPr>
              <w:t>VCF计数长度</w:t>
            </w:r>
          </w:p>
        </w:tc>
        <w:tc>
          <w:tcPr>
            <w:tcW w:w="611" w:type="dxa"/>
          </w:tcPr>
          <w:p w14:paraId="6837419B">
            <w:pPr>
              <w:pStyle w:val="82"/>
            </w:pPr>
            <w:r>
              <w:rPr>
                <w:rFonts w:hint="eastAsia"/>
              </w:rPr>
              <w:t>3bit</w:t>
            </w:r>
          </w:p>
        </w:tc>
        <w:tc>
          <w:tcPr>
            <w:tcW w:w="1657" w:type="dxa"/>
          </w:tcPr>
          <w:p w14:paraId="2ADCCC46">
            <w:pPr>
              <w:pStyle w:val="82"/>
            </w:pPr>
            <w:r>
              <w:rPr>
                <w:rFonts w:hint="eastAsia"/>
              </w:rPr>
              <w:t>001</w:t>
            </w:r>
          </w:p>
        </w:tc>
        <w:tc>
          <w:tcPr>
            <w:tcW w:w="4520" w:type="dxa"/>
          </w:tcPr>
          <w:p w14:paraId="739561A8">
            <w:pPr>
              <w:pStyle w:val="82"/>
            </w:pPr>
            <w:r>
              <w:rPr>
                <w:rFonts w:hint="eastAsia"/>
              </w:rPr>
              <w:t>此处填“001”，表示VCF虚拟通道帧计数器占一个字节。</w:t>
            </w:r>
          </w:p>
        </w:tc>
      </w:tr>
      <w:tr w14:paraId="4C80CD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0B1DCAD2">
            <w:pPr>
              <w:pStyle w:val="82"/>
            </w:pPr>
            <w:r>
              <w:rPr>
                <w:rFonts w:hint="eastAsia"/>
              </w:rPr>
              <w:t>VCF计数器</w:t>
            </w:r>
          </w:p>
        </w:tc>
        <w:tc>
          <w:tcPr>
            <w:tcW w:w="611" w:type="dxa"/>
          </w:tcPr>
          <w:p w14:paraId="10FAA42C">
            <w:pPr>
              <w:pStyle w:val="82"/>
            </w:pPr>
            <w:r>
              <w:rPr>
                <w:rFonts w:hint="eastAsia"/>
              </w:rPr>
              <w:t>8bit</w:t>
            </w:r>
          </w:p>
        </w:tc>
        <w:tc>
          <w:tcPr>
            <w:tcW w:w="1657" w:type="dxa"/>
          </w:tcPr>
          <w:p w14:paraId="7A78E334">
            <w:pPr>
              <w:pStyle w:val="82"/>
            </w:pPr>
          </w:p>
        </w:tc>
        <w:tc>
          <w:tcPr>
            <w:tcW w:w="4520" w:type="dxa"/>
          </w:tcPr>
          <w:p w14:paraId="0AB13D14">
            <w:pPr>
              <w:pStyle w:val="82"/>
            </w:pPr>
            <w:r>
              <w:rPr>
                <w:rFonts w:hint="eastAsia"/>
              </w:rPr>
              <w:t>由前一个字段“VCF计数长度”的值决定。VCF计数长度为1字节时，VCF计数最大到256。此处填为按帧计数，</w:t>
            </w:r>
            <w:r>
              <w:t>0~2</w:t>
            </w:r>
            <w:r>
              <w:rPr>
                <w:vertAlign w:val="superscript"/>
              </w:rPr>
              <w:t>8</w:t>
            </w:r>
            <w:r>
              <w:t>-1</w:t>
            </w:r>
            <w:r>
              <w:rPr>
                <w:rFonts w:hint="eastAsia"/>
              </w:rPr>
              <w:t>循环计数。</w:t>
            </w:r>
          </w:p>
        </w:tc>
      </w:tr>
      <w:tr w14:paraId="2CC89F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0447730C">
            <w:pPr>
              <w:pStyle w:val="82"/>
            </w:pPr>
            <w:r>
              <w:rPr>
                <w:rFonts w:hint="eastAsia"/>
              </w:rPr>
              <w:t>TFDZ构造规则</w:t>
            </w:r>
          </w:p>
        </w:tc>
        <w:tc>
          <w:tcPr>
            <w:tcW w:w="611" w:type="dxa"/>
          </w:tcPr>
          <w:p w14:paraId="4415487C">
            <w:pPr>
              <w:pStyle w:val="82"/>
            </w:pPr>
            <w:r>
              <w:rPr>
                <w:rFonts w:hint="eastAsia"/>
              </w:rPr>
              <w:t>3bit</w:t>
            </w:r>
          </w:p>
        </w:tc>
        <w:tc>
          <w:tcPr>
            <w:tcW w:w="1657" w:type="dxa"/>
          </w:tcPr>
          <w:p w14:paraId="7F8A8E91">
            <w:pPr>
              <w:pStyle w:val="82"/>
            </w:pPr>
            <w:r>
              <w:rPr>
                <w:rFonts w:hint="eastAsia"/>
              </w:rPr>
              <w:t>000</w:t>
            </w:r>
          </w:p>
        </w:tc>
        <w:tc>
          <w:tcPr>
            <w:tcW w:w="4520" w:type="dxa"/>
          </w:tcPr>
          <w:p w14:paraId="018C427F">
            <w:pPr>
              <w:pStyle w:val="82"/>
            </w:pPr>
            <w:r>
              <w:rPr>
                <w:rFonts w:hint="eastAsia"/>
              </w:rPr>
              <w:t>本设计中，TFDZ为固定长度。</w:t>
            </w:r>
          </w:p>
          <w:p w14:paraId="7CDFB250">
            <w:pPr>
              <w:pStyle w:val="82"/>
            </w:pPr>
            <w:r>
              <w:rPr>
                <w:rFonts w:hint="eastAsia"/>
              </w:rPr>
              <w:t>当TFDZ为用户数据时，填写“000”，一帧可承载多个IP报文。</w:t>
            </w:r>
          </w:p>
        </w:tc>
      </w:tr>
      <w:tr w14:paraId="2FC8F7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2797E67F">
            <w:pPr>
              <w:pStyle w:val="82"/>
            </w:pPr>
            <w:r>
              <w:rPr>
                <w:rFonts w:hint="eastAsia"/>
              </w:rPr>
              <w:t>USIP协议ID/UPID</w:t>
            </w:r>
          </w:p>
        </w:tc>
        <w:tc>
          <w:tcPr>
            <w:tcW w:w="611" w:type="dxa"/>
          </w:tcPr>
          <w:p w14:paraId="097252D5">
            <w:pPr>
              <w:pStyle w:val="82"/>
            </w:pPr>
            <w:r>
              <w:rPr>
                <w:rFonts w:hint="eastAsia"/>
              </w:rPr>
              <w:t>5bit</w:t>
            </w:r>
          </w:p>
        </w:tc>
        <w:tc>
          <w:tcPr>
            <w:tcW w:w="1657" w:type="dxa"/>
          </w:tcPr>
          <w:p w14:paraId="01E06DCE">
            <w:pPr>
              <w:pStyle w:val="82"/>
            </w:pPr>
            <w:r>
              <w:rPr>
                <w:rFonts w:hint="eastAsia"/>
              </w:rPr>
              <w:t>00000或者11111</w:t>
            </w:r>
          </w:p>
        </w:tc>
        <w:tc>
          <w:tcPr>
            <w:tcW w:w="4520" w:type="dxa"/>
          </w:tcPr>
          <w:p w14:paraId="19E122B3">
            <w:pPr>
              <w:pStyle w:val="82"/>
            </w:pPr>
            <w:r>
              <w:rPr>
                <w:rFonts w:hint="eastAsia"/>
              </w:rPr>
              <w:t>当TFDZ的数据是空间数据包时，填写“00000”;</w:t>
            </w:r>
          </w:p>
          <w:p w14:paraId="6CFCDC9B">
            <w:pPr>
              <w:pStyle w:val="82"/>
            </w:pPr>
            <w:r>
              <w:rPr>
                <w:rFonts w:hint="eastAsia"/>
              </w:rPr>
              <w:t>当TFDZ的数据是空闲数据时，填写“11111”;</w:t>
            </w:r>
          </w:p>
          <w:p w14:paraId="3BA82443">
            <w:pPr>
              <w:pStyle w:val="82"/>
            </w:pPr>
            <w:r>
              <w:rPr>
                <w:rFonts w:hint="eastAsia"/>
              </w:rPr>
              <w:t>当TFDZ的数据是COP-1控制指令时，填写“00001”;</w:t>
            </w:r>
          </w:p>
          <w:p w14:paraId="3C840538">
            <w:pPr>
              <w:pStyle w:val="82"/>
            </w:pPr>
            <w:r>
              <w:rPr>
                <w:rFonts w:hint="eastAsia"/>
              </w:rPr>
              <w:t>当TFDZ的数据是SDLS安全协议控制指令时，填写“00011”</w:t>
            </w:r>
          </w:p>
        </w:tc>
      </w:tr>
      <w:tr w14:paraId="3F92DA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4BDA57F7">
            <w:pPr>
              <w:pStyle w:val="82"/>
            </w:pPr>
            <w:r>
              <w:rPr>
                <w:rFonts w:hint="eastAsia"/>
              </w:rPr>
              <w:t>首指针/末指针</w:t>
            </w:r>
          </w:p>
        </w:tc>
        <w:tc>
          <w:tcPr>
            <w:tcW w:w="611" w:type="dxa"/>
          </w:tcPr>
          <w:p w14:paraId="126D87C8">
            <w:pPr>
              <w:pStyle w:val="82"/>
            </w:pPr>
            <w:r>
              <w:rPr>
                <w:rFonts w:hint="eastAsia"/>
              </w:rPr>
              <w:t>16bit</w:t>
            </w:r>
          </w:p>
        </w:tc>
        <w:tc>
          <w:tcPr>
            <w:tcW w:w="1657" w:type="dxa"/>
          </w:tcPr>
          <w:p w14:paraId="0EFED076">
            <w:pPr>
              <w:pStyle w:val="82"/>
            </w:pPr>
          </w:p>
        </w:tc>
        <w:tc>
          <w:tcPr>
            <w:tcW w:w="4520" w:type="dxa"/>
          </w:tcPr>
          <w:p w14:paraId="608FF94F">
            <w:pPr>
              <w:pStyle w:val="82"/>
            </w:pPr>
            <w:r>
              <w:rPr>
                <w:rFonts w:hint="eastAsia"/>
              </w:rPr>
              <w:t>当TFDZ是空间数据包，构造规则为“000”时，此字段被指定为首头指针（FHP），表示TFDZ中第一个空间数据包首头字节的位置；</w:t>
            </w:r>
          </w:p>
          <w:p w14:paraId="0E5C3F9E">
            <w:pPr>
              <w:pStyle w:val="82"/>
            </w:pPr>
            <w:r>
              <w:rPr>
                <w:rFonts w:hint="eastAsia"/>
              </w:rPr>
              <w:t>如果</w:t>
            </w:r>
            <w:r>
              <w:t>TFDZ</w:t>
            </w:r>
            <w:r>
              <w:rPr>
                <w:rFonts w:hint="eastAsia"/>
              </w:rPr>
              <w:t>中没有包主导头，且全是用户数据，如出现</w:t>
            </w:r>
            <w:r>
              <w:t>1</w:t>
            </w:r>
            <w:r>
              <w:rPr>
                <w:rFonts w:hint="eastAsia"/>
              </w:rPr>
              <w:t>包数据需要多帧（</w:t>
            </w:r>
            <w:r>
              <w:t>n</w:t>
            </w:r>
            <w:r>
              <w:rPr>
                <w:rFonts w:hint="eastAsia"/>
              </w:rPr>
              <w:t>≥</w:t>
            </w:r>
            <w:r>
              <w:t>3</w:t>
            </w:r>
            <w:r>
              <w:rPr>
                <w:rFonts w:hint="eastAsia"/>
              </w:rPr>
              <w:t>）组合传输的情况，则第</w:t>
            </w:r>
            <w:r>
              <w:t>2</w:t>
            </w:r>
            <w:r>
              <w:rPr>
                <w:rFonts w:hint="eastAsia"/>
              </w:rPr>
              <w:t>帧至第</w:t>
            </w:r>
            <w:r>
              <w:t>n-1</w:t>
            </w:r>
            <w:r>
              <w:rPr>
                <w:rFonts w:hint="eastAsia"/>
              </w:rPr>
              <w:t>帧该字段填全</w:t>
            </w:r>
            <w:r>
              <w:t>1</w:t>
            </w:r>
            <w:r>
              <w:rPr>
                <w:rFonts w:hint="eastAsia"/>
              </w:rPr>
              <w:t>。</w:t>
            </w:r>
          </w:p>
          <w:p w14:paraId="040143CE">
            <w:pPr>
              <w:pStyle w:val="82"/>
            </w:pPr>
            <w:r>
              <w:rPr>
                <w:rFonts w:hint="eastAsia"/>
              </w:rPr>
              <w:t>当TFDZ是空闲数据时，构造规则为“001”时，该字段指向</w:t>
            </w:r>
            <w:r>
              <w:t>TFDZ</w:t>
            </w:r>
            <w:r>
              <w:rPr>
                <w:rFonts w:hint="eastAsia"/>
              </w:rPr>
              <w:t>传输有效字节的末指针，也即空闲数据首部的前一个字节。</w:t>
            </w:r>
          </w:p>
        </w:tc>
      </w:tr>
      <w:tr w14:paraId="1A3982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7FC8CDDB">
            <w:pPr>
              <w:pStyle w:val="82"/>
            </w:pPr>
            <w:r>
              <w:rPr>
                <w:rFonts w:hint="eastAsia"/>
              </w:rPr>
              <w:t>TFDZ域</w:t>
            </w:r>
          </w:p>
        </w:tc>
        <w:tc>
          <w:tcPr>
            <w:tcW w:w="611" w:type="dxa"/>
          </w:tcPr>
          <w:p w14:paraId="558E3EC5">
            <w:pPr>
              <w:pStyle w:val="82"/>
            </w:pPr>
            <w:r>
              <w:rPr>
                <w:rFonts w:hint="eastAsia"/>
              </w:rPr>
              <w:t>1098Byte</w:t>
            </w:r>
          </w:p>
        </w:tc>
        <w:tc>
          <w:tcPr>
            <w:tcW w:w="1657" w:type="dxa"/>
          </w:tcPr>
          <w:p w14:paraId="4D0B0147">
            <w:pPr>
              <w:pStyle w:val="82"/>
            </w:pPr>
          </w:p>
        </w:tc>
        <w:tc>
          <w:tcPr>
            <w:tcW w:w="4520" w:type="dxa"/>
          </w:tcPr>
          <w:p w14:paraId="3A3CE858">
            <w:pPr>
              <w:pStyle w:val="82"/>
            </w:pPr>
            <w:r>
              <w:rPr>
                <w:rFonts w:hint="eastAsia"/>
              </w:rPr>
              <w:t>即包含EPP头、IPE头、IP报文数据区域，也即各VC要传输的数据。</w:t>
            </w:r>
          </w:p>
          <w:p w14:paraId="4DAA52DB">
            <w:pPr>
              <w:pStyle w:val="82"/>
            </w:pPr>
            <w:r>
              <w:rPr>
                <w:rFonts w:hint="eastAsia"/>
              </w:rPr>
              <w:t>如果剩余空间不能装载下一个包，则填充全1。</w:t>
            </w:r>
          </w:p>
        </w:tc>
      </w:tr>
      <w:tr w14:paraId="718339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</w:tcPr>
          <w:p w14:paraId="2B3F65DF">
            <w:pPr>
              <w:pStyle w:val="82"/>
            </w:pPr>
            <w:r>
              <w:rPr>
                <w:rFonts w:hint="eastAsia"/>
              </w:rPr>
              <w:t>操作控制域OCF</w:t>
            </w:r>
          </w:p>
        </w:tc>
        <w:tc>
          <w:tcPr>
            <w:tcW w:w="611" w:type="dxa"/>
          </w:tcPr>
          <w:p w14:paraId="3A33EF7C">
            <w:pPr>
              <w:pStyle w:val="82"/>
            </w:pPr>
            <w:r>
              <w:rPr>
                <w:rFonts w:hint="eastAsia"/>
              </w:rPr>
              <w:t>32bit</w:t>
            </w:r>
          </w:p>
        </w:tc>
        <w:tc>
          <w:tcPr>
            <w:tcW w:w="1657" w:type="dxa"/>
          </w:tcPr>
          <w:p w14:paraId="757728DB">
            <w:pPr>
              <w:pStyle w:val="82"/>
            </w:pPr>
          </w:p>
        </w:tc>
        <w:tc>
          <w:tcPr>
            <w:tcW w:w="4520" w:type="dxa"/>
          </w:tcPr>
          <w:p w14:paraId="77675E54">
            <w:pPr>
              <w:pStyle w:val="82"/>
            </w:pPr>
            <w:r>
              <w:rPr>
                <w:rFonts w:hint="eastAsia"/>
              </w:rPr>
              <w:t>用来传递</w:t>
            </w:r>
            <w:r>
              <w:t>COP-1</w:t>
            </w:r>
            <w:r>
              <w:rPr>
                <w:rFonts w:hint="eastAsia"/>
              </w:rPr>
              <w:t>协议的</w:t>
            </w:r>
            <w:r>
              <w:t>CLCW</w:t>
            </w:r>
            <w:r>
              <w:rPr>
                <w:rFonts w:hint="eastAsia"/>
              </w:rPr>
              <w:t>报告或</w:t>
            </w:r>
            <w:r>
              <w:t>SDLS</w:t>
            </w:r>
            <w:r>
              <w:rPr>
                <w:rFonts w:hint="eastAsia"/>
              </w:rPr>
              <w:t>安全协议的帧安全报告（</w:t>
            </w:r>
            <w:r>
              <w:t>FSR</w:t>
            </w:r>
            <w:r>
              <w:rPr>
                <w:rFonts w:hint="eastAsia"/>
              </w:rPr>
              <w:t>）。</w:t>
            </w:r>
          </w:p>
          <w:p w14:paraId="539AB79F">
            <w:pPr>
              <w:pStyle w:val="82"/>
            </w:pPr>
            <w:r>
              <w:rPr>
                <w:rFonts w:hint="eastAsia"/>
              </w:rPr>
              <w:t>对于固定长度的传输帧，</w:t>
            </w:r>
            <w:r>
              <w:t>OCF</w:t>
            </w:r>
            <w:r>
              <w:rPr>
                <w:rFonts w:hint="eastAsia"/>
              </w:rPr>
              <w:t>需要在</w:t>
            </w:r>
            <w:r>
              <w:t>VC</w:t>
            </w:r>
            <w:r>
              <w:rPr>
                <w:rFonts w:hint="eastAsia"/>
              </w:rPr>
              <w:t>的每一帧中包含；千帆卫星固定长度的遥测帧包含</w:t>
            </w:r>
            <w:r>
              <w:t>OCF</w:t>
            </w:r>
            <w:r>
              <w:rPr>
                <w:rFonts w:hint="eastAsia"/>
              </w:rPr>
              <w:t>，遥控帧不包含</w:t>
            </w:r>
            <w:r>
              <w:t>OCF</w:t>
            </w:r>
            <w:r>
              <w:rPr>
                <w:rFonts w:hint="eastAsia"/>
              </w:rPr>
              <w:t>。</w:t>
            </w:r>
          </w:p>
        </w:tc>
      </w:tr>
      <w:tr w14:paraId="5858CF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686" w:type="dxa"/>
            <w:tcBorders>
              <w:bottom w:val="single" w:color="auto" w:sz="12" w:space="0"/>
            </w:tcBorders>
          </w:tcPr>
          <w:p w14:paraId="523D50A6">
            <w:pPr>
              <w:pStyle w:val="82"/>
            </w:pPr>
            <w:r>
              <w:rPr>
                <w:rFonts w:hint="eastAsia"/>
              </w:rPr>
              <w:t>帧差错控制域FECF</w:t>
            </w:r>
          </w:p>
        </w:tc>
        <w:tc>
          <w:tcPr>
            <w:tcW w:w="611" w:type="dxa"/>
            <w:tcBorders>
              <w:bottom w:val="single" w:color="auto" w:sz="12" w:space="0"/>
            </w:tcBorders>
          </w:tcPr>
          <w:p w14:paraId="154BC773">
            <w:pPr>
              <w:pStyle w:val="82"/>
            </w:pPr>
            <w:r>
              <w:rPr>
                <w:rFonts w:hint="eastAsia"/>
              </w:rPr>
              <w:t>16bit</w:t>
            </w:r>
          </w:p>
        </w:tc>
        <w:tc>
          <w:tcPr>
            <w:tcW w:w="1657" w:type="dxa"/>
            <w:tcBorders>
              <w:bottom w:val="single" w:color="auto" w:sz="12" w:space="0"/>
            </w:tcBorders>
          </w:tcPr>
          <w:p w14:paraId="172F43C6">
            <w:pPr>
              <w:pStyle w:val="82"/>
            </w:pPr>
          </w:p>
        </w:tc>
        <w:tc>
          <w:tcPr>
            <w:tcW w:w="4520" w:type="dxa"/>
            <w:tcBorders>
              <w:bottom w:val="single" w:color="auto" w:sz="12" w:space="0"/>
            </w:tcBorders>
          </w:tcPr>
          <w:p w14:paraId="0B47B0DD">
            <w:pPr>
              <w:pStyle w:val="82"/>
            </w:pPr>
            <w:r>
              <w:rPr>
                <w:rFonts w:hint="eastAsia"/>
              </w:rPr>
              <w:t>校验范围是从USLP帧主导头第一位到FECF的前一个位。采用CRC-16，生成多项式为</w:t>
            </w:r>
            <w:r>
              <w:t>X</w:t>
            </w:r>
            <w:r>
              <w:rPr>
                <w:vertAlign w:val="superscript"/>
              </w:rPr>
              <w:t>16</w:t>
            </w:r>
            <w:r>
              <w:t xml:space="preserve"> + X</w:t>
            </w:r>
            <w:r>
              <w:rPr>
                <w:vertAlign w:val="superscript"/>
              </w:rPr>
              <w:t xml:space="preserve">12 </w:t>
            </w:r>
            <w:r>
              <w:t>+ X</w:t>
            </w:r>
            <w:r>
              <w:rPr>
                <w:vertAlign w:val="superscript"/>
              </w:rPr>
              <w:t>5</w:t>
            </w:r>
            <w:r>
              <w:t xml:space="preserve"> + 1</w:t>
            </w:r>
            <w:r>
              <w:rPr>
                <w:rFonts w:hint="eastAsia"/>
              </w:rPr>
              <w:t>。</w:t>
            </w:r>
          </w:p>
        </w:tc>
      </w:tr>
    </w:tbl>
    <w:p w14:paraId="620AF09F">
      <w:pPr>
        <w:pStyle w:val="4"/>
      </w:pPr>
      <w:r>
        <w:rPr>
          <w:rFonts w:hint="eastAsia"/>
        </w:rPr>
        <w:t>其中，由于高层承载为IP报文，因此TFDZ构造规则字段为“000”。</w:t>
      </w:r>
    </w:p>
    <w:p w14:paraId="58BDDCA0">
      <w:pPr>
        <w:pStyle w:val="72"/>
      </w:pPr>
      <w:r>
        <w:drawing>
          <wp:inline distT="0" distB="0" distL="114300" distR="114300">
            <wp:extent cx="5495925" cy="3866515"/>
            <wp:effectExtent l="0" t="0" r="952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D04D">
      <w:pPr>
        <w:pStyle w:val="85"/>
        <w:ind w:firstLine="420"/>
        <w:rPr>
          <w:rFonts w:ascii="宋体" w:cs="宋体"/>
          <w:sz w:val="23"/>
          <w:szCs w:val="23"/>
        </w:rPr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10</w:t>
      </w:r>
      <w:r>
        <w:rPr>
          <w:rFonts w:hint="eastAsia"/>
        </w:rPr>
        <w:fldChar w:fldCharType="end"/>
      </w:r>
      <w:r>
        <w:rPr>
          <w:rFonts w:hint="eastAsia"/>
        </w:rPr>
        <w:t xml:space="preserve"> </w:t>
      </w:r>
      <w:r>
        <w:rPr>
          <w:sz w:val="23"/>
          <w:szCs w:val="23"/>
        </w:rPr>
        <w:t>TFDZ</w:t>
      </w:r>
      <w:r>
        <w:rPr>
          <w:rFonts w:hint="eastAsia" w:ascii="宋体" w:cs="宋体"/>
          <w:sz w:val="23"/>
          <w:szCs w:val="23"/>
        </w:rPr>
        <w:t>构造规则</w:t>
      </w:r>
    </w:p>
    <w:p w14:paraId="6DD4DC35">
      <w:pPr>
        <w:pStyle w:val="4"/>
      </w:pPr>
      <w:r>
        <w:rPr>
          <w:rFonts w:hint="eastAsia"/>
        </w:rPr>
        <w:t>为了与激光载荷L</w:t>
      </w:r>
      <w:r>
        <w:t>DPC</w:t>
      </w:r>
      <w:r>
        <w:rPr>
          <w:rFonts w:hint="eastAsia"/>
        </w:rPr>
        <w:t>编码匹配，USLP传输帧的固定长度设为</w:t>
      </w:r>
      <w:r>
        <w:rPr>
          <w:rFonts w:hint="eastAsia"/>
          <w:highlight w:val="yellow"/>
        </w:rPr>
        <w:t>892（223*4）字节；TFDZ的长度为那么可承载IP报文的最大长度为8</w:t>
      </w:r>
      <w:r>
        <w:rPr>
          <w:rFonts w:hint="eastAsia"/>
          <w:highlight w:val="yellow"/>
          <w:lang w:val="en-US" w:eastAsia="zh-CN"/>
        </w:rPr>
        <w:t>70</w:t>
      </w:r>
      <w:r>
        <w:rPr>
          <w:rFonts w:hint="eastAsia"/>
          <w:highlight w:val="yellow"/>
        </w:rPr>
        <w:t>字节（892-</w:t>
      </w:r>
      <w:r>
        <w:rPr>
          <w:rFonts w:hint="eastAsia"/>
          <w:highlight w:val="yellow"/>
          <w:lang w:val="en-US" w:eastAsia="zh-CN"/>
        </w:rPr>
        <w:t>22</w:t>
      </w:r>
      <w:r>
        <w:rPr>
          <w:rFonts w:hint="eastAsia"/>
          <w:highlight w:val="yellow"/>
        </w:rPr>
        <w:t>）。</w:t>
      </w:r>
    </w:p>
    <w:p w14:paraId="1A10CCFA">
      <w:pPr>
        <w:pStyle w:val="4"/>
      </w:pPr>
      <w:r>
        <w:rPr>
          <w:rFonts w:hint="eastAsia"/>
        </w:rPr>
        <w:t>因此对于IP报文封装进USLP传输帧的处理分为四种情况：</w:t>
      </w:r>
    </w:p>
    <w:p w14:paraId="11943FB5">
      <w:pPr>
        <w:pStyle w:val="4"/>
        <w:numPr>
          <w:ilvl w:val="0"/>
          <w:numId w:val="16"/>
        </w:numPr>
      </w:pPr>
      <w:r>
        <w:rPr>
          <w:rFonts w:hint="eastAsia"/>
        </w:rPr>
        <w:t>第一种情况，IP报文长度恰等于8</w:t>
      </w:r>
      <w:r>
        <w:rPr>
          <w:rFonts w:hint="eastAsia"/>
          <w:lang w:val="en-US" w:eastAsia="zh-CN"/>
        </w:rPr>
        <w:t>70</w:t>
      </w:r>
      <w:r>
        <w:rPr>
          <w:rFonts w:hint="eastAsia"/>
        </w:rPr>
        <w:t>字节，则该IP报文封装到1个USLP帧。</w:t>
      </w:r>
    </w:p>
    <w:p w14:paraId="7F5CAEA9">
      <w:pPr>
        <w:pStyle w:val="4"/>
        <w:numPr>
          <w:ilvl w:val="0"/>
          <w:numId w:val="16"/>
        </w:numPr>
      </w:pPr>
      <w:r>
        <w:rPr>
          <w:rFonts w:hint="eastAsia"/>
        </w:rPr>
        <w:t>第二种情况，IP报文长度大于8</w:t>
      </w:r>
      <w:r>
        <w:rPr>
          <w:rFonts w:hint="eastAsia"/>
          <w:lang w:val="en-US" w:eastAsia="zh-CN"/>
        </w:rPr>
        <w:t>70</w:t>
      </w:r>
      <w:r>
        <w:rPr>
          <w:rFonts w:hint="eastAsia"/>
        </w:rPr>
        <w:t>字节，则该IP报文需先拆分，再封装进多个USLP帧；最后一个分片IP报文若不足1086字节，则尾部填充全“1”。</w:t>
      </w:r>
    </w:p>
    <w:p w14:paraId="21A5742B">
      <w:pPr>
        <w:pStyle w:val="4"/>
        <w:numPr>
          <w:ilvl w:val="0"/>
          <w:numId w:val="16"/>
        </w:numPr>
      </w:pPr>
      <w:r>
        <w:rPr>
          <w:rFonts w:hint="eastAsia"/>
        </w:rPr>
        <w:t>第三种情况，IP报文长度小于8</w:t>
      </w:r>
      <w:r>
        <w:rPr>
          <w:rFonts w:hint="eastAsia"/>
          <w:lang w:val="en-US" w:eastAsia="zh-CN"/>
        </w:rPr>
        <w:t>70</w:t>
      </w:r>
      <w:r>
        <w:rPr>
          <w:rFonts w:hint="eastAsia"/>
        </w:rPr>
        <w:t>字节，如果该报文与后续N个IP报文的总长度小于8</w:t>
      </w:r>
      <w:r>
        <w:rPr>
          <w:rFonts w:hint="eastAsia"/>
          <w:lang w:val="en-US" w:eastAsia="zh-CN"/>
        </w:rPr>
        <w:t>70</w:t>
      </w:r>
      <w:r>
        <w:rPr>
          <w:rFonts w:hint="eastAsia"/>
        </w:rPr>
        <w:t>字节，则这(N+1)个IP报文可拼接进1个USLP帧（存在尾部不足时，填充全“1”）；如果该报文与后续第一个报文总长度大于8</w:t>
      </w:r>
      <w:r>
        <w:rPr>
          <w:rFonts w:hint="eastAsia"/>
          <w:lang w:val="en-US" w:eastAsia="zh-CN"/>
        </w:rPr>
        <w:t>70</w:t>
      </w:r>
      <w:r>
        <w:rPr>
          <w:rFonts w:hint="eastAsia"/>
        </w:rPr>
        <w:t xml:space="preserve">字节，则只需将该IP报文尾部填充后封装成1个USLP帧；后续报文再分析封装方式。 </w:t>
      </w:r>
    </w:p>
    <w:p w14:paraId="63666950">
      <w:pPr>
        <w:pStyle w:val="4"/>
        <w:numPr>
          <w:ilvl w:val="0"/>
          <w:numId w:val="16"/>
        </w:numPr>
      </w:pPr>
      <w:r>
        <w:rPr>
          <w:rFonts w:hint="eastAsia"/>
        </w:rPr>
        <w:t>第四种情况，无IP报文，则封装成USLP空闲帧。</w:t>
      </w:r>
    </w:p>
    <w:p w14:paraId="6AE31E24">
      <w:pPr>
        <w:pStyle w:val="9"/>
      </w:pPr>
      <w:r>
        <w:rPr>
          <w:rFonts w:hint="eastAsia"/>
        </w:rPr>
        <w:t>长报文拆分装载方式</w:t>
      </w:r>
    </w:p>
    <w:p w14:paraId="2608437D">
      <w:pPr>
        <w:pStyle w:val="72"/>
      </w:pPr>
      <w:r>
        <w:rPr>
          <w:rFonts w:hint="eastAsia"/>
        </w:rPr>
        <w:object>
          <v:shape id="_x0000_i1045" o:spt="75" type="#_x0000_t75" style="height:317.25pt;width:42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Visio.Drawing.15" ShapeID="_x0000_i1045" DrawAspect="Content" ObjectID="_1468075745" r:id="rId54">
            <o:LockedField>false</o:LockedField>
          </o:OLEObject>
        </w:object>
      </w:r>
    </w:p>
    <w:p w14:paraId="2611E85B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11</w:t>
      </w:r>
      <w:r>
        <w:rPr>
          <w:rFonts w:hint="eastAsia"/>
        </w:rPr>
        <w:fldChar w:fldCharType="end"/>
      </w:r>
      <w:r>
        <w:rPr>
          <w:rFonts w:hint="eastAsia"/>
        </w:rPr>
        <w:t xml:space="preserve"> 长报文拆分装载流程</w:t>
      </w:r>
    </w:p>
    <w:p w14:paraId="180BABA6">
      <w:pPr>
        <w:pStyle w:val="4"/>
      </w:pPr>
      <w:r>
        <w:rPr>
          <w:rFonts w:hint="eastAsia"/>
        </w:rPr>
        <w:t>采用固定长度“000”的构造规则取值，并且加上FHP指针来分别分别标识首段、中间段、尾段。</w:t>
      </w:r>
    </w:p>
    <w:p w14:paraId="12C4C8D0">
      <w:pPr>
        <w:pStyle w:val="18"/>
        <w:spacing w:before="156" w:after="156"/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 \* ARABIC \s 1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长报文拆分的指示字段说明</w:t>
      </w:r>
    </w:p>
    <w:tbl>
      <w:tblPr>
        <w:tblStyle w:val="32"/>
        <w:tblW w:w="80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3"/>
        <w:gridCol w:w="1793"/>
        <w:gridCol w:w="1336"/>
        <w:gridCol w:w="2018"/>
        <w:gridCol w:w="1556"/>
      </w:tblGrid>
      <w:tr w14:paraId="6E07AB2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tblHeader/>
          <w:jc w:val="center"/>
        </w:trPr>
        <w:tc>
          <w:tcPr>
            <w:tcW w:w="133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tl2br w:val="nil"/>
              <w:tr2bl w:val="nil"/>
            </w:tcBorders>
            <w:noWrap/>
          </w:tcPr>
          <w:p w14:paraId="22588E4F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名称</w:t>
            </w:r>
          </w:p>
        </w:tc>
        <w:tc>
          <w:tcPr>
            <w:tcW w:w="1793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3A582FC3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TFDZ构造规则/3bit</w:t>
            </w:r>
          </w:p>
        </w:tc>
        <w:tc>
          <w:tcPr>
            <w:tcW w:w="1336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</w:tcPr>
          <w:p w14:paraId="642D151E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UPID/5bit</w:t>
            </w:r>
          </w:p>
        </w:tc>
        <w:tc>
          <w:tcPr>
            <w:tcW w:w="2018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30901277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FHP指针值/16bit</w:t>
            </w:r>
          </w:p>
        </w:tc>
        <w:tc>
          <w:tcPr>
            <w:tcW w:w="1556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tl2br w:val="nil"/>
              <w:tr2bl w:val="nil"/>
            </w:tcBorders>
            <w:noWrap/>
          </w:tcPr>
          <w:p w14:paraId="22212EA8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说明</w:t>
            </w:r>
          </w:p>
        </w:tc>
      </w:tr>
      <w:tr w14:paraId="1E0534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333" w:type="dxa"/>
          </w:tcPr>
          <w:p w14:paraId="373F2735">
            <w:pPr>
              <w:pStyle w:val="82"/>
            </w:pPr>
            <w:r>
              <w:rPr>
                <w:rFonts w:hint="eastAsia"/>
              </w:rPr>
              <w:t>拆分的首段</w:t>
            </w:r>
          </w:p>
        </w:tc>
        <w:tc>
          <w:tcPr>
            <w:tcW w:w="1793" w:type="dxa"/>
          </w:tcPr>
          <w:p w14:paraId="0CCFDCEC">
            <w:pPr>
              <w:pStyle w:val="82"/>
            </w:pPr>
            <w:r>
              <w:rPr>
                <w:rFonts w:hint="eastAsia"/>
              </w:rPr>
              <w:t>000</w:t>
            </w:r>
          </w:p>
        </w:tc>
        <w:tc>
          <w:tcPr>
            <w:tcW w:w="1336" w:type="dxa"/>
            <w:shd w:val="clear" w:color="auto" w:fill="auto"/>
          </w:tcPr>
          <w:p w14:paraId="1D5AF3D9">
            <w:pPr>
              <w:pStyle w:val="82"/>
            </w:pPr>
            <w:r>
              <w:rPr>
                <w:rFonts w:hint="eastAsia"/>
              </w:rPr>
              <w:t>00000</w:t>
            </w:r>
          </w:p>
        </w:tc>
        <w:tc>
          <w:tcPr>
            <w:tcW w:w="2018" w:type="dxa"/>
          </w:tcPr>
          <w:p w14:paraId="45498274">
            <w:pPr>
              <w:pStyle w:val="82"/>
            </w:pPr>
            <w:r>
              <w:rPr>
                <w:rFonts w:hint="eastAsia"/>
              </w:rPr>
              <w:t>指向第一个包的第一个字节，一般为0x0000。</w:t>
            </w:r>
          </w:p>
        </w:tc>
        <w:tc>
          <w:tcPr>
            <w:tcW w:w="1556" w:type="dxa"/>
          </w:tcPr>
          <w:p w14:paraId="301E85F1">
            <w:pPr>
              <w:pStyle w:val="82"/>
            </w:pPr>
          </w:p>
        </w:tc>
      </w:tr>
      <w:tr w14:paraId="576610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333" w:type="dxa"/>
          </w:tcPr>
          <w:p w14:paraId="48B498A9">
            <w:pPr>
              <w:pStyle w:val="82"/>
            </w:pPr>
            <w:r>
              <w:rPr>
                <w:rFonts w:hint="eastAsia"/>
              </w:rPr>
              <w:t>拆分的中间段</w:t>
            </w:r>
          </w:p>
        </w:tc>
        <w:tc>
          <w:tcPr>
            <w:tcW w:w="1793" w:type="dxa"/>
          </w:tcPr>
          <w:p w14:paraId="53515CB1">
            <w:pPr>
              <w:pStyle w:val="82"/>
            </w:pPr>
            <w:r>
              <w:rPr>
                <w:rFonts w:hint="eastAsia"/>
              </w:rPr>
              <w:t>000</w:t>
            </w:r>
          </w:p>
        </w:tc>
        <w:tc>
          <w:tcPr>
            <w:tcW w:w="1336" w:type="dxa"/>
            <w:shd w:val="clear" w:color="auto" w:fill="auto"/>
          </w:tcPr>
          <w:p w14:paraId="735DCF36">
            <w:r>
              <w:rPr>
                <w:rFonts w:hint="eastAsia"/>
              </w:rPr>
              <w:t>00000</w:t>
            </w:r>
          </w:p>
        </w:tc>
        <w:tc>
          <w:tcPr>
            <w:tcW w:w="2018" w:type="dxa"/>
          </w:tcPr>
          <w:p w14:paraId="70E32D72">
            <w:pPr>
              <w:pStyle w:val="82"/>
            </w:pPr>
            <w:r>
              <w:rPr>
                <w:rFonts w:hint="eastAsia"/>
              </w:rPr>
              <w:t>0xFFFF</w:t>
            </w:r>
          </w:p>
        </w:tc>
        <w:tc>
          <w:tcPr>
            <w:tcW w:w="1556" w:type="dxa"/>
          </w:tcPr>
          <w:p w14:paraId="56535EBB">
            <w:pPr>
              <w:pStyle w:val="82"/>
            </w:pPr>
          </w:p>
        </w:tc>
      </w:tr>
      <w:tr w14:paraId="736041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333" w:type="dxa"/>
          </w:tcPr>
          <w:p w14:paraId="01963BFC">
            <w:pPr>
              <w:pStyle w:val="82"/>
            </w:pPr>
            <w:r>
              <w:rPr>
                <w:rFonts w:hint="eastAsia"/>
              </w:rPr>
              <w:t>拆分的尾段</w:t>
            </w:r>
          </w:p>
        </w:tc>
        <w:tc>
          <w:tcPr>
            <w:tcW w:w="1793" w:type="dxa"/>
          </w:tcPr>
          <w:p w14:paraId="7B87D396">
            <w:pPr>
              <w:pStyle w:val="82"/>
            </w:pPr>
            <w:r>
              <w:rPr>
                <w:rFonts w:hint="eastAsia"/>
              </w:rPr>
              <w:t>000</w:t>
            </w:r>
          </w:p>
        </w:tc>
        <w:tc>
          <w:tcPr>
            <w:tcW w:w="1336" w:type="dxa"/>
            <w:shd w:val="clear" w:color="auto" w:fill="auto"/>
          </w:tcPr>
          <w:p w14:paraId="24CD25AB">
            <w:r>
              <w:rPr>
                <w:rFonts w:hint="eastAsia"/>
              </w:rPr>
              <w:t>00000</w:t>
            </w:r>
          </w:p>
        </w:tc>
        <w:tc>
          <w:tcPr>
            <w:tcW w:w="2018" w:type="dxa"/>
          </w:tcPr>
          <w:p w14:paraId="6D2AE005">
            <w:pPr>
              <w:pStyle w:val="82"/>
            </w:pPr>
            <w:r>
              <w:rPr>
                <w:rFonts w:hint="eastAsia"/>
              </w:rPr>
              <w:t>指向空闲填充的前一个字节，即有效数据的最后一个字节。</w:t>
            </w:r>
          </w:p>
        </w:tc>
        <w:tc>
          <w:tcPr>
            <w:tcW w:w="1556" w:type="dxa"/>
          </w:tcPr>
          <w:p w14:paraId="20E103EC">
            <w:pPr>
              <w:pStyle w:val="82"/>
            </w:pPr>
          </w:p>
        </w:tc>
      </w:tr>
    </w:tbl>
    <w:p w14:paraId="4ED044CD">
      <w:pPr>
        <w:pStyle w:val="4"/>
      </w:pPr>
    </w:p>
    <w:p w14:paraId="26EC47D0">
      <w:pPr>
        <w:pStyle w:val="72"/>
      </w:pPr>
      <w:r>
        <w:rPr>
          <w:rFonts w:hint="eastAsia"/>
        </w:rPr>
        <w:object>
          <v:shape id="_x0000_i1046" o:spt="75" type="#_x0000_t75" style="height:515.25pt;width:362.2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Visio.Drawing.15" ShapeID="_x0000_i1046" DrawAspect="Content" ObjectID="_1468075746" r:id="rId56">
            <o:LockedField>false</o:LockedField>
          </o:OLEObject>
        </w:object>
      </w:r>
    </w:p>
    <w:p w14:paraId="518BBA26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12</w:t>
      </w:r>
      <w:r>
        <w:rPr>
          <w:rFonts w:hint="eastAsia"/>
        </w:rPr>
        <w:fldChar w:fldCharType="end"/>
      </w:r>
      <w:r>
        <w:rPr>
          <w:rFonts w:hint="eastAsia"/>
        </w:rPr>
        <w:t xml:space="preserve"> 长报文拆分装载方式</w:t>
      </w:r>
    </w:p>
    <w:p w14:paraId="7871177F">
      <w:pPr>
        <w:pStyle w:val="9"/>
      </w:pPr>
      <w:r>
        <w:rPr>
          <w:rFonts w:hint="eastAsia"/>
        </w:rPr>
        <w:t>短报文拼接装载方式</w:t>
      </w:r>
    </w:p>
    <w:p w14:paraId="259F5F38">
      <w:pPr>
        <w:pStyle w:val="4"/>
      </w:pPr>
    </w:p>
    <w:p w14:paraId="6E14B963">
      <w:pPr>
        <w:pStyle w:val="72"/>
      </w:pPr>
      <w:r>
        <w:object>
          <v:shape id="_x0000_i1047" o:spt="75" type="#_x0000_t75" style="height:340.5pt;width:156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f"/>
            <w10:wrap type="none"/>
            <w10:anchorlock/>
          </v:shape>
          <o:OLEObject Type="Embed" ProgID="Visio.Drawing.15" ShapeID="_x0000_i1047" DrawAspect="Content" ObjectID="_1468075747" r:id="rId58">
            <o:LockedField>false</o:LockedField>
          </o:OLEObject>
        </w:object>
      </w:r>
    </w:p>
    <w:p w14:paraId="2C190733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13</w:t>
      </w:r>
      <w:r>
        <w:rPr>
          <w:rFonts w:hint="eastAsia"/>
        </w:rPr>
        <w:fldChar w:fldCharType="end"/>
      </w:r>
      <w:r>
        <w:rPr>
          <w:rFonts w:hint="eastAsia"/>
        </w:rPr>
        <w:t xml:space="preserve"> 短报文拼接装载流程</w:t>
      </w:r>
    </w:p>
    <w:p w14:paraId="5735E94C">
      <w:pPr>
        <w:pStyle w:val="4"/>
      </w:pPr>
    </w:p>
    <w:p w14:paraId="4A43E42C">
      <w:pPr>
        <w:pStyle w:val="4"/>
      </w:pPr>
      <w:r>
        <w:rPr>
          <w:rFonts w:hint="eastAsia"/>
        </w:rPr>
        <w:t>可以选择USLP帧的长度固定，因此一个USLP帧可以装载多个短IP报文。将IP短报文各自加完IPE头和EPP头后，连续顺序装载进一个USLP帧。此时，需要将TFDZ构造规则字段设为“000”。拼接装载的多个EPP报文的定界，是根据EPP报文的长度来实现的（即根据EPP报文中的长度字段来定界此报文的长度）。</w:t>
      </w:r>
    </w:p>
    <w:p w14:paraId="2995447A">
      <w:pPr>
        <w:pStyle w:val="18"/>
        <w:spacing w:before="156" w:after="156"/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t>5  短报文拼接的指示字段说明</w:t>
      </w:r>
    </w:p>
    <w:tbl>
      <w:tblPr>
        <w:tblStyle w:val="32"/>
        <w:tblW w:w="80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3"/>
        <w:gridCol w:w="1793"/>
        <w:gridCol w:w="1336"/>
        <w:gridCol w:w="2018"/>
        <w:gridCol w:w="1556"/>
      </w:tblGrid>
      <w:tr w14:paraId="474EA6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tblHeader/>
          <w:jc w:val="center"/>
        </w:trPr>
        <w:tc>
          <w:tcPr>
            <w:tcW w:w="133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tl2br w:val="nil"/>
              <w:tr2bl w:val="nil"/>
            </w:tcBorders>
            <w:noWrap/>
          </w:tcPr>
          <w:p w14:paraId="5E70C3A7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名称</w:t>
            </w:r>
          </w:p>
        </w:tc>
        <w:tc>
          <w:tcPr>
            <w:tcW w:w="1793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270EB483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TFDZ构造规则/3bit</w:t>
            </w:r>
          </w:p>
        </w:tc>
        <w:tc>
          <w:tcPr>
            <w:tcW w:w="1336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</w:tcPr>
          <w:p w14:paraId="7A2FCD11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UPID/5bit</w:t>
            </w:r>
          </w:p>
        </w:tc>
        <w:tc>
          <w:tcPr>
            <w:tcW w:w="2018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16DB1052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FHP指针值/16bit</w:t>
            </w:r>
          </w:p>
        </w:tc>
        <w:tc>
          <w:tcPr>
            <w:tcW w:w="1556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tl2br w:val="nil"/>
              <w:tr2bl w:val="nil"/>
            </w:tcBorders>
            <w:noWrap/>
          </w:tcPr>
          <w:p w14:paraId="6D0DD91A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说明</w:t>
            </w:r>
          </w:p>
        </w:tc>
      </w:tr>
      <w:tr w14:paraId="6816B9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333" w:type="dxa"/>
          </w:tcPr>
          <w:p w14:paraId="2F6745FE">
            <w:pPr>
              <w:pStyle w:val="82"/>
            </w:pPr>
            <w:r>
              <w:rPr>
                <w:rFonts w:hint="eastAsia"/>
              </w:rPr>
              <w:t>拼接</w:t>
            </w:r>
          </w:p>
        </w:tc>
        <w:tc>
          <w:tcPr>
            <w:tcW w:w="1793" w:type="dxa"/>
          </w:tcPr>
          <w:p w14:paraId="27F4DDF8">
            <w:pPr>
              <w:pStyle w:val="82"/>
            </w:pPr>
            <w:r>
              <w:rPr>
                <w:rFonts w:hint="eastAsia"/>
              </w:rPr>
              <w:t>000</w:t>
            </w:r>
          </w:p>
        </w:tc>
        <w:tc>
          <w:tcPr>
            <w:tcW w:w="1336" w:type="dxa"/>
            <w:shd w:val="clear" w:color="auto" w:fill="auto"/>
          </w:tcPr>
          <w:p w14:paraId="77F42B83">
            <w:pPr>
              <w:pStyle w:val="82"/>
            </w:pPr>
            <w:r>
              <w:rPr>
                <w:rFonts w:hint="eastAsia"/>
              </w:rPr>
              <w:t>00000</w:t>
            </w:r>
          </w:p>
        </w:tc>
        <w:tc>
          <w:tcPr>
            <w:tcW w:w="2018" w:type="dxa"/>
          </w:tcPr>
          <w:p w14:paraId="6D36382C">
            <w:pPr>
              <w:pStyle w:val="82"/>
            </w:pPr>
            <w:r>
              <w:rPr>
                <w:rFonts w:hint="eastAsia"/>
              </w:rPr>
              <w:t>指向第一个包的第一个字节，一般为0x0000。</w:t>
            </w:r>
          </w:p>
        </w:tc>
        <w:tc>
          <w:tcPr>
            <w:tcW w:w="1556" w:type="dxa"/>
          </w:tcPr>
          <w:p w14:paraId="5415EC4A">
            <w:pPr>
              <w:pStyle w:val="82"/>
            </w:pPr>
            <w:r>
              <w:rPr>
                <w:rFonts w:hint="eastAsia"/>
              </w:rPr>
              <w:t>后续包根据EPP长度字段来定界。</w:t>
            </w:r>
          </w:p>
        </w:tc>
      </w:tr>
    </w:tbl>
    <w:p w14:paraId="4AE6F01E">
      <w:pPr>
        <w:pStyle w:val="4"/>
      </w:pPr>
    </w:p>
    <w:p w14:paraId="18968BE3">
      <w:pPr>
        <w:pStyle w:val="72"/>
      </w:pPr>
      <w:r>
        <w:rPr>
          <w:rFonts w:hint="eastAsia"/>
        </w:rPr>
        <w:object>
          <v:shape id="_x0000_i1048" o:spt="75" type="#_x0000_t75" style="height:189pt;width:358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Visio.Drawing.15" ShapeID="_x0000_i1048" DrawAspect="Content" ObjectID="_1468075748" r:id="rId60">
            <o:LockedField>false</o:LockedField>
          </o:OLEObject>
        </w:object>
      </w:r>
    </w:p>
    <w:p w14:paraId="628146E6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14</w:t>
      </w:r>
      <w:r>
        <w:rPr>
          <w:rFonts w:hint="eastAsia"/>
        </w:rPr>
        <w:fldChar w:fldCharType="end"/>
      </w:r>
      <w:r>
        <w:rPr>
          <w:rFonts w:hint="eastAsia"/>
        </w:rPr>
        <w:t xml:space="preserve"> 短报文拼接装载方式</w:t>
      </w:r>
    </w:p>
    <w:p w14:paraId="1489D1AE">
      <w:pPr>
        <w:pStyle w:val="4"/>
      </w:pPr>
    </w:p>
    <w:p w14:paraId="063DB7D0">
      <w:pPr>
        <w:pStyle w:val="9"/>
      </w:pPr>
      <w:r>
        <w:rPr>
          <w:rFonts w:hint="eastAsia"/>
        </w:rPr>
        <w:t>空闲帧封装</w:t>
      </w:r>
    </w:p>
    <w:p w14:paraId="08C15180">
      <w:pPr>
        <w:pStyle w:val="4"/>
      </w:pPr>
      <w:r>
        <w:rPr>
          <w:rFonts w:hint="eastAsia"/>
        </w:rPr>
        <w:t>在没有用户数据、安全协议数据，或者链路断开时，为了保持收发双方的同步发送空闲帧，即OID传输帧。</w:t>
      </w:r>
    </w:p>
    <w:p w14:paraId="7B60520B">
      <w:pPr>
        <w:pStyle w:val="4"/>
      </w:pPr>
      <w:r>
        <w:rPr>
          <w:rFonts w:hint="eastAsia"/>
        </w:rPr>
        <w:t>空闲帧的格式如下图所示，TFDZ头部的构造规则为“000”、UPID为“11111”、FHP指针值为0xFFFE。</w:t>
      </w:r>
    </w:p>
    <w:p w14:paraId="39387931">
      <w:pPr>
        <w:pStyle w:val="4"/>
      </w:pPr>
      <w:r>
        <w:rPr>
          <w:rFonts w:hint="eastAsia"/>
        </w:rPr>
        <w:t>在空闲帧的TFDZ中应使用随机模式，以避免因随机化不足而导致的帧接收问题。一个空闲帧的TFDZ应该由一个32单元的线性反馈移位寄存器（LFSR）产生的强制性伪噪声（PN）序列来填充，该序列的生成多项式为D</w:t>
      </w:r>
      <w:r>
        <w:rPr>
          <w:rFonts w:hint="eastAsia"/>
          <w:vertAlign w:val="superscript"/>
        </w:rPr>
        <w:t xml:space="preserve">0 </w:t>
      </w:r>
      <w:r>
        <w:rPr>
          <w:rFonts w:hint="eastAsia"/>
        </w:rPr>
        <w:t>+ D</w:t>
      </w:r>
      <w:r>
        <w:rPr>
          <w:rFonts w:hint="eastAsia"/>
          <w:vertAlign w:val="superscript"/>
        </w:rPr>
        <w:t>1</w:t>
      </w:r>
      <w:r>
        <w:rPr>
          <w:rFonts w:hint="eastAsia"/>
        </w:rPr>
        <w:t xml:space="preserve"> + D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+ D</w:t>
      </w:r>
      <w:r>
        <w:rPr>
          <w:rFonts w:hint="eastAsia"/>
          <w:vertAlign w:val="superscript"/>
        </w:rPr>
        <w:t>22</w:t>
      </w:r>
      <w:r>
        <w:rPr>
          <w:rFonts w:hint="eastAsia"/>
        </w:rPr>
        <w:t xml:space="preserve"> + D</w:t>
      </w:r>
      <w:r>
        <w:rPr>
          <w:rFonts w:hint="eastAsia"/>
          <w:vertAlign w:val="superscript"/>
        </w:rPr>
        <w:t>32</w:t>
      </w:r>
      <w:r>
        <w:rPr>
          <w:rFonts w:hint="eastAsia"/>
        </w:rPr>
        <w:t>。</w:t>
      </w:r>
    </w:p>
    <w:p w14:paraId="468E16C1">
      <w:pPr>
        <w:pStyle w:val="18"/>
        <w:spacing w:before="156" w:after="156"/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t>5  空闲帧字段说明</w:t>
      </w:r>
    </w:p>
    <w:tbl>
      <w:tblPr>
        <w:tblStyle w:val="32"/>
        <w:tblW w:w="871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1965"/>
        <w:gridCol w:w="1336"/>
        <w:gridCol w:w="2021"/>
        <w:gridCol w:w="2129"/>
      </w:tblGrid>
      <w:tr w14:paraId="651EED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tblHeader/>
          <w:jc w:val="center"/>
        </w:trPr>
        <w:tc>
          <w:tcPr>
            <w:tcW w:w="126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tl2br w:val="nil"/>
              <w:tr2bl w:val="nil"/>
            </w:tcBorders>
            <w:noWrap/>
          </w:tcPr>
          <w:p w14:paraId="540BCEAB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名称</w:t>
            </w:r>
          </w:p>
        </w:tc>
        <w:tc>
          <w:tcPr>
            <w:tcW w:w="1965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640446D1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TFDZ构造规则/3bit</w:t>
            </w:r>
          </w:p>
        </w:tc>
        <w:tc>
          <w:tcPr>
            <w:tcW w:w="1336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131DB1D2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UPID/5bit</w:t>
            </w:r>
          </w:p>
        </w:tc>
        <w:tc>
          <w:tcPr>
            <w:tcW w:w="2021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753B7C5C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FHP指针值/16bit</w:t>
            </w:r>
          </w:p>
        </w:tc>
        <w:tc>
          <w:tcPr>
            <w:tcW w:w="2129" w:type="dxa"/>
            <w:tcBorders>
              <w:top w:val="single" w:color="auto" w:sz="12" w:space="0"/>
              <w:bottom w:val="single" w:color="auto" w:sz="12" w:space="0"/>
              <w:tl2br w:val="nil"/>
              <w:tr2bl w:val="nil"/>
            </w:tcBorders>
          </w:tcPr>
          <w:p w14:paraId="061EC2AC">
            <w:pPr>
              <w:pStyle w:val="82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说明</w:t>
            </w:r>
          </w:p>
        </w:tc>
      </w:tr>
      <w:tr w14:paraId="195BFE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1265" w:type="dxa"/>
          </w:tcPr>
          <w:p w14:paraId="6E9080E6">
            <w:pPr>
              <w:pStyle w:val="82"/>
            </w:pPr>
            <w:r>
              <w:rPr>
                <w:rFonts w:hint="eastAsia"/>
              </w:rPr>
              <w:t>空闲帧</w:t>
            </w:r>
          </w:p>
        </w:tc>
        <w:tc>
          <w:tcPr>
            <w:tcW w:w="1965" w:type="dxa"/>
          </w:tcPr>
          <w:p w14:paraId="38ADF835">
            <w:pPr>
              <w:pStyle w:val="82"/>
            </w:pPr>
            <w:r>
              <w:rPr>
                <w:rFonts w:hint="eastAsia"/>
              </w:rPr>
              <w:t>000</w:t>
            </w:r>
          </w:p>
        </w:tc>
        <w:tc>
          <w:tcPr>
            <w:tcW w:w="1336" w:type="dxa"/>
          </w:tcPr>
          <w:p w14:paraId="0517DE74">
            <w:pPr>
              <w:pStyle w:val="82"/>
            </w:pPr>
            <w:r>
              <w:rPr>
                <w:rFonts w:hint="eastAsia"/>
              </w:rPr>
              <w:t>11111</w:t>
            </w:r>
          </w:p>
        </w:tc>
        <w:tc>
          <w:tcPr>
            <w:tcW w:w="2021" w:type="dxa"/>
          </w:tcPr>
          <w:p w14:paraId="7FBDA968">
            <w:pPr>
              <w:pStyle w:val="82"/>
            </w:pPr>
            <w:r>
              <w:rPr>
                <w:rFonts w:hint="eastAsia"/>
              </w:rPr>
              <w:t>0xFFFE。</w:t>
            </w:r>
          </w:p>
        </w:tc>
        <w:tc>
          <w:tcPr>
            <w:tcW w:w="2129" w:type="dxa"/>
          </w:tcPr>
          <w:p w14:paraId="2A18ED80">
            <w:pPr>
              <w:pStyle w:val="82"/>
            </w:pPr>
          </w:p>
        </w:tc>
      </w:tr>
    </w:tbl>
    <w:p w14:paraId="79421448">
      <w:pPr>
        <w:pStyle w:val="4"/>
      </w:pPr>
    </w:p>
    <w:p w14:paraId="771107E9">
      <w:pPr>
        <w:pStyle w:val="72"/>
      </w:pPr>
      <w:r>
        <w:rPr>
          <w:rFonts w:hint="eastAsia"/>
        </w:rPr>
        <w:object>
          <v:shape id="_x0000_i1049" o:spt="75" type="#_x0000_t75" style="height:337.5pt;width:166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Visio.Drawing.15" ShapeID="_x0000_i1049" DrawAspect="Content" ObjectID="_1468075749" r:id="rId62">
            <o:LockedField>false</o:LockedField>
          </o:OLEObject>
        </w:object>
      </w:r>
    </w:p>
    <w:p w14:paraId="63697C4A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15</w:t>
      </w:r>
      <w:r>
        <w:rPr>
          <w:rFonts w:hint="eastAsia"/>
        </w:rPr>
        <w:fldChar w:fldCharType="end"/>
      </w:r>
      <w:r>
        <w:rPr>
          <w:rFonts w:hint="eastAsia"/>
        </w:rPr>
        <w:t xml:space="preserve"> 空闲帧格式</w:t>
      </w:r>
    </w:p>
    <w:p w14:paraId="60D20C75">
      <w:pPr>
        <w:pStyle w:val="4"/>
      </w:pPr>
    </w:p>
    <w:p w14:paraId="7534BBB8">
      <w:pPr>
        <w:pStyle w:val="7"/>
      </w:pPr>
      <w:bookmarkStart w:id="37" w:name="_Toc177115159"/>
      <w:r>
        <w:rPr>
          <w:rFonts w:hint="eastAsia"/>
        </w:rPr>
        <w:t>发送异常处理</w:t>
      </w:r>
      <w:bookmarkEnd w:id="37"/>
    </w:p>
    <w:p w14:paraId="03126C2C">
      <w:pPr>
        <w:pStyle w:val="4"/>
      </w:pPr>
      <w:r>
        <w:rPr>
          <w:rFonts w:hint="eastAsia"/>
        </w:rPr>
        <w:t>在发送过程中，可能某段时刻存在信道质量差，只传送了前一部分USLP传输帧，后续另一部分暂不可发送的情况，需要回放重传从某个时刻点开始的帧。</w:t>
      </w:r>
    </w:p>
    <w:p w14:paraId="74CC7DDE">
      <w:pPr>
        <w:pStyle w:val="4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hint="eastAsia"/>
        </w:rPr>
        <w:t>可以使用USLP传输帧头的2bit保留字段来区分实时帧（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用“0</w:t>
      </w:r>
      <w:r>
        <w:rPr>
          <w:rFonts w:cs="Times New Roman"/>
          <w:color w:val="000000"/>
          <w:kern w:val="0"/>
          <w:szCs w:val="24"/>
          <w:lang w:bidi="ar"/>
        </w:rPr>
        <w:t>0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”标识</w:t>
      </w:r>
      <w:r>
        <w:rPr>
          <w:rFonts w:hint="eastAsia"/>
        </w:rPr>
        <w:t>）和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重传帧（用“0</w:t>
      </w:r>
      <w:r>
        <w:rPr>
          <w:rFonts w:cs="Times New Roman"/>
          <w:color w:val="000000"/>
          <w:kern w:val="0"/>
          <w:szCs w:val="24"/>
          <w:lang w:bidi="ar"/>
        </w:rPr>
        <w:t>1</w:t>
      </w:r>
      <w:r>
        <w:rPr>
          <w:rFonts w:hint="eastAsia" w:ascii="宋体" w:hAnsi="宋体" w:cs="宋体"/>
          <w:color w:val="000000"/>
          <w:kern w:val="0"/>
          <w:szCs w:val="24"/>
          <w:lang w:bidi="ar"/>
        </w:rPr>
        <w:t>”标识）。</w:t>
      </w:r>
    </w:p>
    <w:p w14:paraId="64059C18">
      <w:pPr>
        <w:pStyle w:val="4"/>
        <w:rPr>
          <w:rFonts w:ascii="宋体" w:hAnsi="宋体" w:cs="宋体"/>
          <w:color w:val="000000"/>
          <w:kern w:val="0"/>
          <w:szCs w:val="24"/>
          <w:lang w:bidi="ar"/>
        </w:rPr>
      </w:pPr>
      <w:r>
        <w:rPr>
          <w:rFonts w:hint="eastAsia" w:cs="Times New Roman"/>
          <w:szCs w:val="24"/>
        </w:rPr>
        <w:t>实时帧和重传帧需要添加不同的ASM同步头。实时帧添加0x</w:t>
      </w:r>
      <w:r>
        <w:rPr>
          <w:rFonts w:cs="Times New Roman"/>
          <w:szCs w:val="24"/>
        </w:rPr>
        <w:t>1ACFFC1D</w:t>
      </w:r>
      <w:r>
        <w:rPr>
          <w:rFonts w:hint="eastAsia" w:cs="Times New Roman"/>
          <w:szCs w:val="24"/>
        </w:rPr>
        <w:t>的ASM同步头；重放帧添加0x352EF853的ASM同步头。</w:t>
      </w:r>
    </w:p>
    <w:p w14:paraId="46422B98">
      <w:pPr>
        <w:pStyle w:val="5"/>
      </w:pPr>
      <w:bookmarkStart w:id="38" w:name="_Toc177115160"/>
      <w:r>
        <w:rPr>
          <w:rFonts w:hint="eastAsia"/>
        </w:rPr>
        <w:t>接收数据的处理流程</w:t>
      </w:r>
      <w:bookmarkEnd w:id="33"/>
      <w:bookmarkEnd w:id="38"/>
    </w:p>
    <w:p w14:paraId="738F4F1E">
      <w:pPr>
        <w:pStyle w:val="4"/>
      </w:pPr>
      <w:r>
        <w:rPr>
          <w:rFonts w:hint="eastAsia"/>
        </w:rPr>
        <w:t>上行方向接收数据的解封装流程，与下行方向发送数据的封装流程相反。</w:t>
      </w:r>
    </w:p>
    <w:p w14:paraId="5BDB1720">
      <w:pPr>
        <w:pStyle w:val="5"/>
      </w:pPr>
      <w:bookmarkStart w:id="39" w:name="_Toc177115161"/>
      <w:r>
        <w:rPr>
          <w:rFonts w:hint="eastAsia"/>
        </w:rPr>
        <w:t>数据缓存和读写</w:t>
      </w:r>
      <w:bookmarkEnd w:id="39"/>
    </w:p>
    <w:p w14:paraId="7F130FBF">
      <w:pPr>
        <w:pStyle w:val="72"/>
      </w:pPr>
      <w:r>
        <w:rPr>
          <w:rFonts w:hint="eastAsia"/>
        </w:rPr>
        <w:object>
          <v:shape id="_x0000_i1050" o:spt="75" type="#_x0000_t75" style="height:130.5pt;width:175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f"/>
            <w10:wrap type="none"/>
            <w10:anchorlock/>
          </v:shape>
          <o:OLEObject Type="Embed" ProgID="Visio.Drawing.15" ShapeID="_x0000_i1050" DrawAspect="Content" ObjectID="_1468075750" r:id="rId64">
            <o:LockedField>false</o:LockedField>
          </o:OLEObject>
        </w:object>
      </w:r>
    </w:p>
    <w:p w14:paraId="19500C86">
      <w:pPr>
        <w:pStyle w:val="4"/>
      </w:pPr>
      <w:r>
        <w:rPr>
          <w:rFonts w:hint="eastAsia"/>
        </w:rPr>
        <w:t>本方案采取免调度。如上图所示，PS将封装为物理帧存存放至DDR存储器，PL根据地址从DDR存储器读出物理帧，交由物理层自适应调制编码。</w:t>
      </w:r>
    </w:p>
    <w:p w14:paraId="2EFD2727">
      <w:pPr>
        <w:pStyle w:val="7"/>
      </w:pPr>
      <w:bookmarkStart w:id="40" w:name="_Toc177115162"/>
      <w:r>
        <w:rPr>
          <w:rFonts w:hint="eastAsia"/>
        </w:rPr>
        <w:t>DDR数据存储格式</w:t>
      </w:r>
      <w:bookmarkEnd w:id="40"/>
    </w:p>
    <w:p w14:paraId="40D3DF08">
      <w:pPr>
        <w:pStyle w:val="4"/>
      </w:pPr>
    </w:p>
    <w:p w14:paraId="1B2003E9">
      <w:pPr>
        <w:pStyle w:val="72"/>
        <w:spacing w:line="240" w:lineRule="atLeast"/>
      </w:pPr>
      <w:r>
        <w:object>
          <v:shape id="_x0000_i1051" o:spt="75" type="#_x0000_t75" style="height:237pt;width:19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f"/>
            <w10:wrap type="none"/>
            <w10:anchorlock/>
          </v:shape>
          <o:OLEObject Type="Embed" ProgID="Visio.Drawing.15" ShapeID="_x0000_i1051" DrawAspect="Content" ObjectID="_1468075751" r:id="rId66">
            <o:LockedField>false</o:LockedField>
          </o:OLEObject>
        </w:object>
      </w:r>
    </w:p>
    <w:p w14:paraId="3642B87E">
      <w:pPr>
        <w:pStyle w:val="85"/>
        <w:ind w:firstLine="420"/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STYLEREF 1 \s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noBreakHyphen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\s 1 </w:instrText>
      </w:r>
      <w:r>
        <w:rPr>
          <w:rFonts w:hint="eastAsia"/>
        </w:rPr>
        <w:fldChar w:fldCharType="separate"/>
      </w:r>
      <w:r>
        <w:t>16</w:t>
      </w:r>
      <w:r>
        <w:rPr>
          <w:rFonts w:hint="eastAsia"/>
        </w:rPr>
        <w:fldChar w:fldCharType="end"/>
      </w:r>
      <w:r>
        <w:rPr>
          <w:rFonts w:hint="eastAsia"/>
        </w:rPr>
        <w:t xml:space="preserve"> DDR数据存储格式</w:t>
      </w:r>
    </w:p>
    <w:p w14:paraId="38AC921D">
      <w:pPr>
        <w:pStyle w:val="4"/>
        <w:rPr>
          <w:highlight w:val="yellow"/>
        </w:rPr>
      </w:pPr>
      <w:r>
        <w:rPr>
          <w:rFonts w:hint="eastAsia"/>
          <w:highlight w:val="yellow"/>
        </w:rPr>
        <w:t>以USLP传输帧的固定长度892（223*4）字节，加1字节的ACM格式，因此每个USLP传输帧需要存储空间为893字节。</w:t>
      </w:r>
    </w:p>
    <w:p w14:paraId="4F6E424B">
      <w:pPr>
        <w:pStyle w:val="4"/>
        <w:rPr>
          <w:highlight w:val="yellow"/>
        </w:rPr>
      </w:pPr>
      <w:r>
        <w:rPr>
          <w:rFonts w:hint="eastAsia"/>
          <w:highlight w:val="yellow"/>
        </w:rPr>
        <w:t>DDR颗粒4颗，每颗容量1GByte，每颗位宽x16；4颗位宽x64，用1个DDR控制器。</w:t>
      </w:r>
    </w:p>
    <w:p w14:paraId="53F21654">
      <w:pPr>
        <w:pStyle w:val="4"/>
        <w:rPr>
          <w:highlight w:val="yellow"/>
        </w:rPr>
      </w:pPr>
      <w:r>
        <w:rPr>
          <w:rFonts w:hint="eastAsia"/>
          <w:highlight w:val="yellow"/>
        </w:rPr>
        <w:t>因此DDR读写和存储单位是8字节（64位），每893字节读写需112个时钟周期、存储需112个地址空间（每个地址空间8字节）。</w:t>
      </w:r>
    </w:p>
    <w:p w14:paraId="094F819D">
      <w:pPr>
        <w:pStyle w:val="7"/>
      </w:pPr>
      <w:bookmarkStart w:id="41" w:name="_Toc177115163"/>
      <w:r>
        <w:rPr>
          <w:rFonts w:hint="eastAsia"/>
        </w:rPr>
        <w:t>ACM格式</w:t>
      </w:r>
      <w:bookmarkEnd w:id="41"/>
    </w:p>
    <w:p w14:paraId="4A2C297E">
      <w:pPr>
        <w:tabs>
          <w:tab w:val="center" w:pos="4201"/>
          <w:tab w:val="right" w:leader="dot" w:pos="9298"/>
        </w:tabs>
        <w:spacing w:line="360" w:lineRule="auto"/>
        <w:ind w:firstLine="48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将</w:t>
      </w:r>
      <w:r>
        <w:rPr>
          <w:rFonts w:hint="eastAsia" w:cs="Times New Roman"/>
          <w:sz w:val="24"/>
          <w:szCs w:val="24"/>
        </w:rPr>
        <w:t>添加ASM同步头的传输帧</w:t>
      </w:r>
      <w:r>
        <w:rPr>
          <w:rFonts w:cs="Times New Roman"/>
          <w:sz w:val="24"/>
          <w:szCs w:val="24"/>
        </w:rPr>
        <w:t>分成一系列长度为K的信息块，K的值应通过“ ACM Command”参数设置/修改</w:t>
      </w:r>
      <w:r>
        <w:rPr>
          <w:rFonts w:hint="eastAsia" w:cs="Times New Roman"/>
          <w:sz w:val="24"/>
          <w:szCs w:val="24"/>
        </w:rPr>
        <w:t>。</w:t>
      </w:r>
      <w:r>
        <w:rPr>
          <w:rFonts w:cs="Times New Roman"/>
          <w:sz w:val="24"/>
          <w:szCs w:val="24"/>
        </w:rPr>
        <w:t>注意</w:t>
      </w:r>
      <w:r>
        <w:rPr>
          <w:rFonts w:hint="eastAsia" w:cs="Times New Roman"/>
          <w:sz w:val="24"/>
          <w:szCs w:val="24"/>
        </w:rPr>
        <w:t>，</w:t>
      </w:r>
      <w:r>
        <w:rPr>
          <w:rFonts w:cs="Times New Roman"/>
          <w:sz w:val="24"/>
          <w:szCs w:val="24"/>
        </w:rPr>
        <w:t>“ ACM Command”</w:t>
      </w:r>
      <w:r>
        <w:rPr>
          <w:rFonts w:hint="eastAsia" w:cs="Times New Roman"/>
          <w:sz w:val="24"/>
          <w:szCs w:val="24"/>
        </w:rPr>
        <w:t>需</w:t>
      </w:r>
      <w:r>
        <w:rPr>
          <w:rFonts w:cs="Times New Roman"/>
          <w:sz w:val="24"/>
          <w:szCs w:val="24"/>
        </w:rPr>
        <w:t>同时调整交织、</w:t>
      </w:r>
      <w:r>
        <w:rPr>
          <w:rFonts w:hint="eastAsia" w:cs="Times New Roman"/>
          <w:sz w:val="24"/>
          <w:szCs w:val="24"/>
        </w:rPr>
        <w:t>打孔</w:t>
      </w:r>
      <w:r>
        <w:rPr>
          <w:rFonts w:cs="Times New Roman"/>
          <w:sz w:val="24"/>
          <w:szCs w:val="24"/>
        </w:rPr>
        <w:t>和</w:t>
      </w:r>
      <w:r>
        <w:rPr>
          <w:rFonts w:hint="eastAsia" w:cs="Times New Roman"/>
          <w:sz w:val="24"/>
          <w:szCs w:val="24"/>
        </w:rPr>
        <w:t>调制</w:t>
      </w:r>
      <w:r>
        <w:rPr>
          <w:rFonts w:cs="Times New Roman"/>
          <w:sz w:val="24"/>
          <w:szCs w:val="24"/>
        </w:rPr>
        <w:t>符号映射，以确保同步操作。</w:t>
      </w:r>
    </w:p>
    <w:p w14:paraId="1B40AF3A">
      <w:pPr>
        <w:pStyle w:val="18"/>
        <w:keepNext/>
        <w:spacing w:before="156" w:after="156"/>
        <w:rPr>
          <w:rFonts w:ascii="Times New Roman" w:hAnsi="Times New Roman" w:eastAsia="宋体" w:cs="Times New Roman"/>
          <w:sz w:val="24"/>
          <w:szCs w:val="24"/>
        </w:rPr>
      </w:pPr>
      <w:bookmarkStart w:id="42" w:name="_Ref174321070"/>
      <w:bookmarkStart w:id="43" w:name="_Toc174663022"/>
      <w:r>
        <w:rPr>
          <w:rFonts w:hint="eastAsia" w:ascii="Times New Roman" w:hAnsi="Times New Roman" w:eastAsia="宋体" w:cs="Times New Roman"/>
          <w:sz w:val="24"/>
          <w:szCs w:val="24"/>
        </w:rPr>
        <w:t>表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ascii="Times New Roman" w:hAnsi="Times New Roman" w:eastAsia="宋体" w:cs="Times New Roman"/>
          <w:sz w:val="24"/>
          <w:szCs w:val="24"/>
        </w:rPr>
        <w:instrText xml:space="preserve"> STYLEREF 1 \s </w:instrText>
      </w:r>
      <w:r>
        <w:rPr>
          <w:rFonts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ascii="Times New Roman" w:hAnsi="Times New Roman" w:eastAsia="宋体" w:cs="Times New Roman"/>
          <w:sz w:val="24"/>
          <w:szCs w:val="24"/>
        </w:rPr>
        <w:t>8</w:t>
      </w:r>
      <w:r>
        <w:rPr>
          <w:rFonts w:ascii="Times New Roman" w:hAnsi="Times New Roman" w:eastAsia="宋体" w:cs="Times New Roman"/>
          <w:sz w:val="24"/>
          <w:szCs w:val="24"/>
        </w:rPr>
        <w:fldChar w:fldCharType="end"/>
      </w:r>
      <w:r>
        <w:rPr>
          <w:rFonts w:ascii="Times New Roman" w:hAnsi="Times New Roman" w:eastAsia="宋体" w:cs="Times New Roman"/>
          <w:sz w:val="24"/>
          <w:szCs w:val="24"/>
        </w:rPr>
        <w:noBreakHyphen/>
      </w:r>
      <w:r>
        <w:rPr>
          <w:rFonts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ascii="Times New Roman" w:hAnsi="Times New Roman" w:eastAsia="宋体" w:cs="Times New Roman"/>
          <w:sz w:val="24"/>
          <w:szCs w:val="24"/>
        </w:rPr>
        <w:instrText xml:space="preserve"> SEQ Table \* ARABIC \s 1 </w:instrText>
      </w:r>
      <w:r>
        <w:rPr>
          <w:rFonts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ascii="Times New Roman" w:hAnsi="Times New Roman" w:eastAsia="宋体" w:cs="Times New Roman"/>
          <w:sz w:val="24"/>
          <w:szCs w:val="24"/>
        </w:rPr>
        <w:fldChar w:fldCharType="end"/>
      </w:r>
      <w:bookmarkEnd w:id="42"/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不同ACM格式下的未编码信息块大小</w:t>
      </w:r>
      <w:bookmarkEnd w:id="43"/>
    </w:p>
    <w:tbl>
      <w:tblPr>
        <w:tblStyle w:val="32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2410"/>
        <w:gridCol w:w="1417"/>
        <w:gridCol w:w="2268"/>
      </w:tblGrid>
      <w:tr w14:paraId="283E854B">
        <w:trPr>
          <w:trHeight w:val="838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vAlign w:val="center"/>
          </w:tcPr>
          <w:p w14:paraId="1B8EFF7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ACM</w:t>
            </w:r>
          </w:p>
          <w:p w14:paraId="57EC39D2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Format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vAlign w:val="center"/>
          </w:tcPr>
          <w:p w14:paraId="1C731E3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</w:rPr>
              <w:t xml:space="preserve">K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Information Block</w:t>
            </w:r>
            <w:r>
              <w:rPr>
                <w:rFonts w:hint="eastAsia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Size(bits)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vAlign w:val="center"/>
          </w:tcPr>
          <w:p w14:paraId="075AA6D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ACM</w:t>
            </w:r>
          </w:p>
          <w:p w14:paraId="3BBEE91C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Format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vAlign w:val="center"/>
          </w:tcPr>
          <w:p w14:paraId="2601A5B3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</w:rPr>
              <w:t xml:space="preserve">K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Information Block</w:t>
            </w:r>
            <w:r>
              <w:rPr>
                <w:rFonts w:hint="eastAsia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Size(bits)</w:t>
            </w:r>
          </w:p>
        </w:tc>
      </w:tr>
      <w:tr w14:paraId="04DC16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C49B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F5BA0A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5758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EEFE6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A39D73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23518</w:t>
            </w:r>
          </w:p>
        </w:tc>
      </w:tr>
      <w:tr w14:paraId="0CAD52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0536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9D5311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6958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887E2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D7DB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25918</w:t>
            </w:r>
          </w:p>
        </w:tc>
      </w:tr>
      <w:tr w14:paraId="5ACEA5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491487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A577E7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8398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F5B24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C64EED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28318</w:t>
            </w:r>
          </w:p>
        </w:tc>
      </w:tr>
      <w:tr w14:paraId="4CE3A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BD682C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5240D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9838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8F592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5C9C4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25918</w:t>
            </w:r>
          </w:p>
        </w:tc>
      </w:tr>
      <w:tr w14:paraId="6D028B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A87DA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E9028C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11278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3AC5F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8877D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28318</w:t>
            </w:r>
          </w:p>
        </w:tc>
      </w:tr>
      <w:tr w14:paraId="21539C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9FED6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2F9F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13198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1C03A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5A4E5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30958</w:t>
            </w:r>
          </w:p>
        </w:tc>
      </w:tr>
      <w:tr w14:paraId="10A9F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AFE2D0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9D003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11278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1EB9E3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CE2D3A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33358</w:t>
            </w:r>
          </w:p>
        </w:tc>
      </w:tr>
      <w:tr w14:paraId="0936E0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3F6949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B6F247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13198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9890D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8B89E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35998</w:t>
            </w:r>
          </w:p>
        </w:tc>
      </w:tr>
      <w:tr w14:paraId="1644AF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42F617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E79EB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14878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C145A0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8CEDD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33358</w:t>
            </w:r>
          </w:p>
        </w:tc>
      </w:tr>
      <w:tr w14:paraId="5933A6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FA80F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AF409C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17038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4E6F80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183846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35998</w:t>
            </w:r>
          </w:p>
        </w:tc>
      </w:tr>
      <w:tr w14:paraId="17B13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92EA5B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55D67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19198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4D2909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2C1868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38638</w:t>
            </w:r>
          </w:p>
        </w:tc>
      </w:tr>
      <w:tr w14:paraId="139723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3DCE6D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4D4F6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21358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0A9F09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83E28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41038</w:t>
            </w:r>
          </w:p>
        </w:tc>
      </w:tr>
      <w:tr w14:paraId="3210E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3D7F66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D2539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19198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99EC3F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092659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43678</w:t>
            </w:r>
          </w:p>
        </w:tc>
      </w:tr>
      <w:tr w14:paraId="750291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BAB4C6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B5E2CE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21358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CAA843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A611B7">
            <w:pPr>
              <w:tabs>
                <w:tab w:val="center" w:pos="4201"/>
                <w:tab w:val="right" w:leader="dot" w:pos="9298"/>
              </w:tabs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7E982E36">
      <w:pPr>
        <w:pStyle w:val="4"/>
        <w:rPr>
          <w:color w:val="C00000"/>
          <w:highlight w:val="yellow"/>
        </w:rPr>
      </w:pPr>
    </w:p>
    <w:p w14:paraId="2F31BE3C">
      <w:pPr>
        <w:pStyle w:val="5"/>
      </w:pPr>
      <w:bookmarkStart w:id="44" w:name="_Toc177115164"/>
      <w:r>
        <w:rPr>
          <w:rFonts w:hint="eastAsia"/>
        </w:rPr>
        <w:t>消息定义</w:t>
      </w:r>
      <w:bookmarkEnd w:id="44"/>
    </w:p>
    <w:p w14:paraId="225BDDF0">
      <w:pPr>
        <w:pStyle w:val="7"/>
      </w:pPr>
      <w:bookmarkStart w:id="45" w:name="_Toc177115165"/>
      <w:r>
        <w:rPr>
          <w:rFonts w:hint="eastAsia"/>
        </w:rPr>
        <w:t>消息报头</w:t>
      </w:r>
      <w:bookmarkEnd w:id="45"/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1987"/>
      </w:tblGrid>
      <w:tr w14:paraId="25AA2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13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395E075F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msgType</w:t>
            </w:r>
          </w:p>
        </w:tc>
        <w:tc>
          <w:tcPr>
            <w:tcW w:w="1987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674D906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msgLen</w:t>
            </w:r>
          </w:p>
        </w:tc>
      </w:tr>
    </w:tbl>
    <w:p w14:paraId="0BE43340">
      <w:pPr>
        <w:pStyle w:val="7"/>
      </w:pPr>
      <w:bookmarkStart w:id="46" w:name="_Toc177115166"/>
      <w:r>
        <w:rPr>
          <w:rFonts w:hint="eastAsia"/>
        </w:rPr>
        <w:t>Hello消息结构</w:t>
      </w:r>
      <w:bookmarkEnd w:id="46"/>
    </w:p>
    <w:tbl>
      <w:tblPr>
        <w:tblStyle w:val="33"/>
        <w:tblW w:w="73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500"/>
        <w:gridCol w:w="1682"/>
        <w:gridCol w:w="1468"/>
        <w:gridCol w:w="1498"/>
      </w:tblGrid>
      <w:tr w14:paraId="62484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4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4C8EE488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报头</w:t>
            </w:r>
          </w:p>
        </w:tc>
        <w:tc>
          <w:tcPr>
            <w:tcW w:w="1500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20E21DC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srcSatId</w:t>
            </w:r>
          </w:p>
        </w:tc>
        <w:tc>
          <w:tcPr>
            <w:tcW w:w="168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1D9D5C7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nbrInfo_s</w:t>
            </w:r>
          </w:p>
        </w:tc>
        <w:tc>
          <w:tcPr>
            <w:tcW w:w="1468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38F14721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...</w:t>
            </w:r>
          </w:p>
        </w:tc>
        <w:tc>
          <w:tcPr>
            <w:tcW w:w="149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1B42872B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nbrInfo_s</w:t>
            </w:r>
          </w:p>
        </w:tc>
      </w:tr>
    </w:tbl>
    <w:p w14:paraId="0B270A2F">
      <w:pPr>
        <w:pStyle w:val="4"/>
      </w:pPr>
      <w:r>
        <w:t xml:space="preserve">struct </w:t>
      </w:r>
      <w:r>
        <w:rPr>
          <w:rFonts w:hint="eastAsia"/>
        </w:rPr>
        <w:t>nbrInfo_s</w:t>
      </w:r>
    </w:p>
    <w:p w14:paraId="73BE535C">
      <w:pPr>
        <w:pStyle w:val="4"/>
      </w:pPr>
      <w:r>
        <w:t>{</w:t>
      </w:r>
    </w:p>
    <w:p w14:paraId="6790E9A7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nbrS</w:t>
      </w:r>
      <w:r>
        <w:t>atId;</w:t>
      </w:r>
    </w:p>
    <w:p w14:paraId="3D60A7F9">
      <w:pPr>
        <w:pStyle w:val="4"/>
      </w:pPr>
      <w:r>
        <w:tab/>
      </w:r>
      <w:r>
        <w:rPr>
          <w:rFonts w:hint="eastAsia"/>
        </w:rPr>
        <w:t>u</w:t>
      </w:r>
      <w:r>
        <w:t>int</w:t>
      </w:r>
      <w:r>
        <w:rPr>
          <w:rFonts w:hint="eastAsia"/>
        </w:rPr>
        <w:t>16</w:t>
      </w:r>
      <w:r>
        <w:t xml:space="preserve">_t </w:t>
      </w:r>
      <w:r>
        <w:rPr>
          <w:rFonts w:hint="eastAsia"/>
        </w:rPr>
        <w:t xml:space="preserve"> </w:t>
      </w:r>
      <w:r>
        <w:rPr>
          <w:rFonts w:cs="Times New Roman"/>
          <w:szCs w:val="24"/>
        </w:rPr>
        <w:t>metric</w:t>
      </w:r>
      <w:r>
        <w:t>;</w:t>
      </w:r>
    </w:p>
    <w:p w14:paraId="4018E269">
      <w:pPr>
        <w:pStyle w:val="4"/>
      </w:pPr>
      <w:r>
        <w:t>}</w:t>
      </w:r>
    </w:p>
    <w:p w14:paraId="15B29FA7">
      <w:pPr>
        <w:pStyle w:val="7"/>
      </w:pPr>
      <w:bookmarkStart w:id="47" w:name="_Toc177115167"/>
      <w:r>
        <w:rPr>
          <w:rFonts w:hint="eastAsia"/>
        </w:rPr>
        <w:t>TOPO消息结构</w:t>
      </w:r>
      <w:bookmarkEnd w:id="47"/>
    </w:p>
    <w:tbl>
      <w:tblPr>
        <w:tblStyle w:val="33"/>
        <w:tblW w:w="72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5"/>
        <w:gridCol w:w="1987"/>
        <w:gridCol w:w="1987"/>
        <w:gridCol w:w="1987"/>
      </w:tblGrid>
      <w:tr w14:paraId="20F23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9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00A3846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报头</w:t>
            </w:r>
          </w:p>
        </w:tc>
        <w:tc>
          <w:tcPr>
            <w:tcW w:w="1987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1C1B9992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topoList</w:t>
            </w:r>
          </w:p>
        </w:tc>
        <w:tc>
          <w:tcPr>
            <w:tcW w:w="1987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69DF3F51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......</w:t>
            </w:r>
          </w:p>
        </w:tc>
        <w:tc>
          <w:tcPr>
            <w:tcW w:w="1987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348D047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topoList</w:t>
            </w:r>
          </w:p>
        </w:tc>
      </w:tr>
    </w:tbl>
    <w:p w14:paraId="06BD4457">
      <w:pPr>
        <w:pStyle w:val="4"/>
      </w:pPr>
      <w:r>
        <w:rPr>
          <w:rFonts w:hint="eastAsia"/>
        </w:rPr>
        <w:t>其中，topoLilst结构如下所示：</w:t>
      </w:r>
    </w:p>
    <w:p w14:paraId="25F36BEA">
      <w:pPr>
        <w:pStyle w:val="4"/>
      </w:pPr>
      <w:r>
        <w:t xml:space="preserve">struct </w:t>
      </w:r>
      <w:r>
        <w:rPr>
          <w:rFonts w:hint="eastAsia"/>
        </w:rPr>
        <w:t>topoList_s</w:t>
      </w:r>
    </w:p>
    <w:p w14:paraId="067FAD3A">
      <w:pPr>
        <w:pStyle w:val="4"/>
      </w:pPr>
      <w:r>
        <w:t>{</w:t>
      </w:r>
    </w:p>
    <w:p w14:paraId="6B254CE7">
      <w:pPr>
        <w:pStyle w:val="4"/>
      </w:pPr>
      <w:r>
        <w:tab/>
      </w:r>
      <w:r>
        <w:t xml:space="preserve">uint16_t </w:t>
      </w:r>
      <w:r>
        <w:rPr>
          <w:rFonts w:hint="eastAsia"/>
        </w:rPr>
        <w:t xml:space="preserve"> s</w:t>
      </w:r>
      <w:r>
        <w:t>atId;</w:t>
      </w:r>
    </w:p>
    <w:p w14:paraId="11043B06">
      <w:pPr>
        <w:pStyle w:val="4"/>
      </w:pPr>
      <w:r>
        <w:tab/>
      </w:r>
      <w:r>
        <w:rPr>
          <w:rFonts w:hint="eastAsia"/>
        </w:rPr>
        <w:t>uint8_t   sn;</w:t>
      </w:r>
    </w:p>
    <w:p w14:paraId="6A590774">
      <w:pPr>
        <w:pStyle w:val="4"/>
      </w:pPr>
      <w:r>
        <w:tab/>
      </w:r>
      <w:r>
        <w:rPr>
          <w:rFonts w:hint="eastAsia"/>
        </w:rPr>
        <w:t>uint8_t   nbrCnt;</w:t>
      </w:r>
    </w:p>
    <w:p w14:paraId="747FE8C5">
      <w:pPr>
        <w:pStyle w:val="4"/>
      </w:pPr>
      <w:r>
        <w:tab/>
      </w:r>
      <w:r>
        <w:rPr>
          <w:rFonts w:hint="eastAsia"/>
        </w:rPr>
        <w:t>nbrInfo</w:t>
      </w:r>
      <w:r>
        <w:tab/>
      </w:r>
      <w:r>
        <w:t xml:space="preserve"> </w:t>
      </w:r>
      <w:r>
        <w:rPr>
          <w:rFonts w:hint="eastAsia"/>
        </w:rPr>
        <w:t xml:space="preserve"> nbrInfo[59]</w:t>
      </w:r>
      <w:r>
        <w:t>;</w:t>
      </w:r>
    </w:p>
    <w:p w14:paraId="6A11C287">
      <w:pPr>
        <w:pStyle w:val="4"/>
      </w:pPr>
      <w:r>
        <w:t>}</w:t>
      </w:r>
    </w:p>
    <w:p w14:paraId="4660A3B6">
      <w:pPr>
        <w:pStyle w:val="7"/>
      </w:pPr>
      <w:bookmarkStart w:id="48" w:name="_Toc177115168"/>
      <w:r>
        <w:rPr>
          <w:rFonts w:hint="eastAsia"/>
        </w:rPr>
        <w:t>CNI消息结构</w:t>
      </w:r>
      <w:bookmarkEnd w:id="48"/>
    </w:p>
    <w:tbl>
      <w:tblPr>
        <w:tblStyle w:val="33"/>
        <w:tblW w:w="3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5"/>
        <w:gridCol w:w="1987"/>
      </w:tblGrid>
      <w:tr w14:paraId="16D5A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29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047561D3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报头</w:t>
            </w:r>
          </w:p>
        </w:tc>
        <w:tc>
          <w:tcPr>
            <w:tcW w:w="1987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263693ED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CNI(EsN0)</w:t>
            </w:r>
          </w:p>
        </w:tc>
      </w:tr>
    </w:tbl>
    <w:p w14:paraId="1E8FC3CA">
      <w:pPr>
        <w:pStyle w:val="4"/>
      </w:pPr>
    </w:p>
    <w:p w14:paraId="0C56DC3A">
      <w:pPr>
        <w:pStyle w:val="5"/>
      </w:pPr>
      <w:bookmarkStart w:id="49" w:name="_Toc177115169"/>
      <w:r>
        <w:rPr>
          <w:rFonts w:hint="eastAsia"/>
        </w:rPr>
        <w:t>接口设计及定义</w:t>
      </w:r>
      <w:bookmarkEnd w:id="49"/>
    </w:p>
    <w:p w14:paraId="7B4B4740">
      <w:pPr>
        <w:pStyle w:val="7"/>
      </w:pPr>
      <w:bookmarkStart w:id="50" w:name="_Toc177115170"/>
      <w:r>
        <w:rPr>
          <w:rFonts w:hint="eastAsia"/>
        </w:rPr>
        <w:t>外部接口</w:t>
      </w:r>
      <w:bookmarkEnd w:id="50"/>
    </w:p>
    <w:p w14:paraId="11F96C92">
      <w:pPr>
        <w:pStyle w:val="4"/>
      </w:pPr>
      <w:r>
        <w:rPr>
          <w:rFonts w:hint="eastAsia"/>
        </w:rPr>
        <w:t>1）与VDES接口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52"/>
        <w:gridCol w:w="2164"/>
        <w:gridCol w:w="2738"/>
      </w:tblGrid>
      <w:tr w14:paraId="3F932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8C6DC81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00614E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45DE706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1748EB3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44211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0A742A22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25810E0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dataLen</w:t>
            </w:r>
          </w:p>
        </w:tc>
        <w:tc>
          <w:tcPr>
            <w:tcW w:w="2164" w:type="dxa"/>
            <w:shd w:val="clear" w:color="auto" w:fill="auto"/>
            <w:vAlign w:val="top"/>
          </w:tcPr>
          <w:p w14:paraId="6304EF4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4F5D2A00">
            <w:pPr>
              <w:pStyle w:val="4"/>
              <w:ind w:firstLine="0" w:firstLineChars="0"/>
              <w:jc w:val="center"/>
            </w:pPr>
          </w:p>
        </w:tc>
      </w:tr>
      <w:tr w14:paraId="2BAA0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43A36AE2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2" w:type="dxa"/>
            <w:vAlign w:val="top"/>
          </w:tcPr>
          <w:p w14:paraId="6F483AF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data[]</w:t>
            </w:r>
          </w:p>
        </w:tc>
        <w:tc>
          <w:tcPr>
            <w:tcW w:w="2164" w:type="dxa"/>
            <w:vAlign w:val="top"/>
          </w:tcPr>
          <w:p w14:paraId="410BE26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7FF9C290">
            <w:pPr>
              <w:pStyle w:val="4"/>
              <w:ind w:firstLine="0" w:firstLineChars="0"/>
            </w:pPr>
          </w:p>
        </w:tc>
      </w:tr>
    </w:tbl>
    <w:p w14:paraId="35075AC5">
      <w:pPr>
        <w:pStyle w:val="4"/>
      </w:pPr>
      <w:r>
        <w:rPr>
          <w:rFonts w:hint="eastAsia"/>
        </w:rPr>
        <w:t>2）与馈电接口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52"/>
        <w:gridCol w:w="2164"/>
        <w:gridCol w:w="2738"/>
      </w:tblGrid>
      <w:tr w14:paraId="76FFB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631FD8C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6D8D6B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7B26294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17CACD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04629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4AE8CA0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5F9BE3E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dataLen</w:t>
            </w:r>
          </w:p>
        </w:tc>
        <w:tc>
          <w:tcPr>
            <w:tcW w:w="2164" w:type="dxa"/>
            <w:shd w:val="clear" w:color="auto" w:fill="auto"/>
            <w:vAlign w:val="top"/>
          </w:tcPr>
          <w:p w14:paraId="7A841CC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95170D6">
            <w:pPr>
              <w:pStyle w:val="4"/>
              <w:ind w:firstLine="0" w:firstLineChars="0"/>
              <w:jc w:val="center"/>
            </w:pPr>
          </w:p>
        </w:tc>
      </w:tr>
      <w:tr w14:paraId="7595C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55CF369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2" w:type="dxa"/>
            <w:vAlign w:val="top"/>
          </w:tcPr>
          <w:p w14:paraId="096EEB6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data[]</w:t>
            </w:r>
          </w:p>
        </w:tc>
        <w:tc>
          <w:tcPr>
            <w:tcW w:w="2164" w:type="dxa"/>
            <w:vAlign w:val="top"/>
          </w:tcPr>
          <w:p w14:paraId="7F494AA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39C27F2D">
            <w:pPr>
              <w:pStyle w:val="4"/>
              <w:ind w:firstLine="0" w:firstLineChars="0"/>
            </w:pPr>
          </w:p>
        </w:tc>
      </w:tr>
    </w:tbl>
    <w:p w14:paraId="0D26A782">
      <w:pPr>
        <w:pStyle w:val="7"/>
      </w:pPr>
      <w:bookmarkStart w:id="51" w:name="_Toc177115171"/>
      <w:r>
        <w:rPr>
          <w:rFonts w:hint="eastAsia"/>
        </w:rPr>
        <w:t>内部接口</w:t>
      </w:r>
      <w:bookmarkEnd w:id="51"/>
    </w:p>
    <w:p w14:paraId="1EF4E099">
      <w:pPr>
        <w:pStyle w:val="9"/>
      </w:pPr>
      <w:r>
        <w:rPr>
          <w:rFonts w:hint="eastAsia"/>
        </w:rPr>
        <w:t>DLL与L2S接口</w:t>
      </w:r>
    </w:p>
    <w:p w14:paraId="3359142A">
      <w:pPr>
        <w:pStyle w:val="4"/>
      </w:pPr>
      <w:r>
        <w:rPr>
          <w:rFonts w:hint="eastAsia"/>
        </w:rPr>
        <w:t>DLL_L2S_MEAR_REPORT_IND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52"/>
        <w:gridCol w:w="2164"/>
        <w:gridCol w:w="2738"/>
      </w:tblGrid>
      <w:tr w14:paraId="68979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B676D24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49D2EEC5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C1EDC9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0701BC0B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4E339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1AD6BA1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3AAE240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64" w:type="dxa"/>
            <w:shd w:val="clear" w:color="auto" w:fill="auto"/>
            <w:vAlign w:val="top"/>
          </w:tcPr>
          <w:p w14:paraId="45A8FD4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7F0A6E3A">
            <w:pPr>
              <w:pStyle w:val="4"/>
              <w:ind w:firstLine="0" w:firstLineChars="0"/>
              <w:jc w:val="center"/>
            </w:pPr>
          </w:p>
        </w:tc>
      </w:tr>
      <w:tr w14:paraId="08744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2D7CE76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2" w:type="dxa"/>
            <w:vAlign w:val="top"/>
          </w:tcPr>
          <w:p w14:paraId="2BC6F61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stMeasInfo</w:t>
            </w:r>
          </w:p>
        </w:tc>
        <w:tc>
          <w:tcPr>
            <w:tcW w:w="2164" w:type="dxa"/>
            <w:vAlign w:val="top"/>
          </w:tcPr>
          <w:p w14:paraId="0ADBEB1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MeasInfo_s</w:t>
            </w:r>
          </w:p>
        </w:tc>
        <w:tc>
          <w:tcPr>
            <w:tcW w:w="2738" w:type="dxa"/>
            <w:vAlign w:val="center"/>
          </w:tcPr>
          <w:p w14:paraId="31D661D7">
            <w:pPr>
              <w:pStyle w:val="4"/>
              <w:ind w:firstLine="0" w:firstLineChars="0"/>
            </w:pPr>
            <w:r>
              <w:rPr>
                <w:rFonts w:hint="eastAsia"/>
              </w:rPr>
              <w:t>物理层测量信息</w:t>
            </w:r>
          </w:p>
        </w:tc>
      </w:tr>
    </w:tbl>
    <w:p w14:paraId="70CBEE2B">
      <w:pPr>
        <w:pStyle w:val="4"/>
      </w:pPr>
    </w:p>
    <w:p w14:paraId="5A7CED11">
      <w:pPr>
        <w:pStyle w:val="9"/>
      </w:pPr>
      <w:r>
        <w:rPr>
          <w:rFonts w:hint="eastAsia"/>
        </w:rPr>
        <w:t>L2S与FORWARD接口</w:t>
      </w:r>
    </w:p>
    <w:p w14:paraId="059F925A">
      <w:pPr>
        <w:pStyle w:val="4"/>
      </w:pPr>
      <w:r>
        <w:rPr>
          <w:rFonts w:hint="eastAsia"/>
        </w:rPr>
        <w:t>1)L2S_FORWARD_SIGNAL_SEND_IND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58"/>
        <w:gridCol w:w="2158"/>
        <w:gridCol w:w="2738"/>
      </w:tblGrid>
      <w:tr w14:paraId="0318A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55BE2CC2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8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7BC7F2CD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8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40BAAAF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noWrap/>
            <w:vAlign w:val="center"/>
          </w:tcPr>
          <w:p w14:paraId="543EAA50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0D595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64242B4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8" w:type="dxa"/>
            <w:vAlign w:val="center"/>
          </w:tcPr>
          <w:p w14:paraId="5A9CBB4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58" w:type="dxa"/>
            <w:vAlign w:val="center"/>
          </w:tcPr>
          <w:p w14:paraId="49CA638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vAlign w:val="center"/>
          </w:tcPr>
          <w:p w14:paraId="7458CA64">
            <w:pPr>
              <w:pStyle w:val="4"/>
              <w:ind w:firstLine="0" w:firstLineChars="0"/>
            </w:pPr>
            <w:r>
              <w:rPr>
                <w:rFonts w:hint="eastAsia"/>
              </w:rPr>
              <w:t>下一条卫星ID</w:t>
            </w:r>
          </w:p>
        </w:tc>
      </w:tr>
      <w:tr w14:paraId="71BEC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38BD36E1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8" w:type="dxa"/>
            <w:vAlign w:val="center"/>
          </w:tcPr>
          <w:p w14:paraId="4DEF35C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msgType</w:t>
            </w:r>
          </w:p>
        </w:tc>
        <w:tc>
          <w:tcPr>
            <w:tcW w:w="2158" w:type="dxa"/>
            <w:vAlign w:val="center"/>
          </w:tcPr>
          <w:p w14:paraId="6CEFA7B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41018101">
            <w:pPr>
              <w:pStyle w:val="4"/>
              <w:ind w:firstLine="0" w:firstLineChars="0"/>
            </w:pPr>
          </w:p>
        </w:tc>
      </w:tr>
      <w:tr w14:paraId="24C7B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3F64862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58" w:type="dxa"/>
            <w:vAlign w:val="center"/>
          </w:tcPr>
          <w:p w14:paraId="0E7B626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msgLen</w:t>
            </w:r>
          </w:p>
        </w:tc>
        <w:tc>
          <w:tcPr>
            <w:tcW w:w="2158" w:type="dxa"/>
            <w:vAlign w:val="center"/>
          </w:tcPr>
          <w:p w14:paraId="2E7AFA4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vAlign w:val="center"/>
          </w:tcPr>
          <w:p w14:paraId="3EDFA4F2">
            <w:pPr>
              <w:pStyle w:val="4"/>
              <w:ind w:firstLine="0" w:firstLineChars="0"/>
            </w:pPr>
          </w:p>
        </w:tc>
      </w:tr>
      <w:tr w14:paraId="4CF28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1C096A2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58" w:type="dxa"/>
            <w:vAlign w:val="center"/>
          </w:tcPr>
          <w:p w14:paraId="3039ABD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msgData[]</w:t>
            </w:r>
          </w:p>
        </w:tc>
        <w:tc>
          <w:tcPr>
            <w:tcW w:w="2158" w:type="dxa"/>
            <w:vAlign w:val="center"/>
          </w:tcPr>
          <w:p w14:paraId="2F830D6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51A5491C">
            <w:pPr>
              <w:pStyle w:val="4"/>
              <w:ind w:firstLine="0" w:firstLineChars="0"/>
            </w:pPr>
          </w:p>
        </w:tc>
      </w:tr>
    </w:tbl>
    <w:p w14:paraId="106CF4DE">
      <w:pPr>
        <w:pStyle w:val="4"/>
        <w:numPr>
          <w:ilvl w:val="0"/>
          <w:numId w:val="17"/>
        </w:numPr>
      </w:pPr>
      <w:r>
        <w:rPr>
          <w:rFonts w:hint="eastAsia"/>
        </w:rPr>
        <w:t>FORWARD_L2S_SIGNAL_RECV_IND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52"/>
        <w:gridCol w:w="2164"/>
        <w:gridCol w:w="2738"/>
      </w:tblGrid>
      <w:tr w14:paraId="75F29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EFAB1DB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285E3CB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5580B64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45DE2307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35D67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779DC97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7B47F42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srcSatId</w:t>
            </w:r>
          </w:p>
        </w:tc>
        <w:tc>
          <w:tcPr>
            <w:tcW w:w="2164" w:type="dxa"/>
            <w:shd w:val="clear" w:color="auto" w:fill="auto"/>
            <w:vAlign w:val="top"/>
          </w:tcPr>
          <w:p w14:paraId="126EBFC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DC125DE">
            <w:pPr>
              <w:pStyle w:val="4"/>
              <w:ind w:firstLine="0" w:firstLineChars="0"/>
              <w:jc w:val="center"/>
            </w:pPr>
          </w:p>
        </w:tc>
      </w:tr>
      <w:tr w14:paraId="3C399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005D41D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14B3898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msgType</w:t>
            </w:r>
          </w:p>
        </w:tc>
        <w:tc>
          <w:tcPr>
            <w:tcW w:w="2164" w:type="dxa"/>
            <w:shd w:val="clear" w:color="auto" w:fill="auto"/>
            <w:vAlign w:val="top"/>
          </w:tcPr>
          <w:p w14:paraId="46B0EC1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0C5F39D0">
            <w:pPr>
              <w:pStyle w:val="4"/>
              <w:ind w:firstLine="0" w:firstLineChars="0"/>
              <w:jc w:val="center"/>
            </w:pPr>
          </w:p>
        </w:tc>
      </w:tr>
      <w:tr w14:paraId="349A8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07643BA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52" w:type="dxa"/>
            <w:vAlign w:val="top"/>
          </w:tcPr>
          <w:p w14:paraId="2B50E61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msgLen</w:t>
            </w:r>
          </w:p>
        </w:tc>
        <w:tc>
          <w:tcPr>
            <w:tcW w:w="2164" w:type="dxa"/>
            <w:vAlign w:val="top"/>
          </w:tcPr>
          <w:p w14:paraId="599795D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vAlign w:val="center"/>
          </w:tcPr>
          <w:p w14:paraId="275CF7C8">
            <w:pPr>
              <w:pStyle w:val="4"/>
              <w:ind w:firstLine="0" w:firstLineChars="0"/>
              <w:jc w:val="center"/>
            </w:pPr>
          </w:p>
        </w:tc>
      </w:tr>
      <w:tr w14:paraId="42E27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27F3D5A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52" w:type="dxa"/>
            <w:vAlign w:val="top"/>
          </w:tcPr>
          <w:p w14:paraId="50584EF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msgData[]</w:t>
            </w:r>
          </w:p>
        </w:tc>
        <w:tc>
          <w:tcPr>
            <w:tcW w:w="2164" w:type="dxa"/>
            <w:vAlign w:val="top"/>
          </w:tcPr>
          <w:p w14:paraId="66DB529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06FD6A44">
            <w:pPr>
              <w:pStyle w:val="4"/>
              <w:ind w:firstLine="0" w:firstLineChars="0"/>
              <w:jc w:val="center"/>
            </w:pPr>
          </w:p>
        </w:tc>
      </w:tr>
    </w:tbl>
    <w:p w14:paraId="05148641">
      <w:pPr>
        <w:pStyle w:val="4"/>
        <w:numPr>
          <w:ilvl w:val="0"/>
          <w:numId w:val="17"/>
        </w:numPr>
      </w:pPr>
      <w:r>
        <w:rPr>
          <w:rFonts w:hint="eastAsia"/>
        </w:rPr>
        <w:t>L2S_FORWARD_ACM_UPDATE_IND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52"/>
        <w:gridCol w:w="2164"/>
        <w:gridCol w:w="2738"/>
      </w:tblGrid>
      <w:tr w14:paraId="5903B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F6F1D83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64CC29B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076A414F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2581AA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70617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7D9B747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4FCFD59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64" w:type="dxa"/>
            <w:shd w:val="clear" w:color="auto" w:fill="auto"/>
            <w:vAlign w:val="top"/>
          </w:tcPr>
          <w:p w14:paraId="7342E6E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68A08028">
            <w:pPr>
              <w:pStyle w:val="4"/>
              <w:ind w:firstLine="0" w:firstLineChars="0"/>
              <w:jc w:val="center"/>
            </w:pPr>
          </w:p>
        </w:tc>
      </w:tr>
      <w:tr w14:paraId="17168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66D4C92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52" w:type="dxa"/>
            <w:vAlign w:val="top"/>
          </w:tcPr>
          <w:p w14:paraId="0C354F0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mcs</w:t>
            </w:r>
          </w:p>
        </w:tc>
        <w:tc>
          <w:tcPr>
            <w:tcW w:w="2164" w:type="dxa"/>
            <w:vAlign w:val="top"/>
          </w:tcPr>
          <w:p w14:paraId="7424CCE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42D5973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建议的mcs值</w:t>
            </w:r>
          </w:p>
        </w:tc>
      </w:tr>
    </w:tbl>
    <w:p w14:paraId="5603B109">
      <w:pPr>
        <w:pStyle w:val="4"/>
      </w:pPr>
    </w:p>
    <w:p w14:paraId="66AB819B">
      <w:pPr>
        <w:pStyle w:val="9"/>
      </w:pPr>
      <w:r>
        <w:rPr>
          <w:rFonts w:hint="eastAsia"/>
        </w:rPr>
        <w:t>DLL与FORWARD接口</w:t>
      </w:r>
    </w:p>
    <w:p w14:paraId="5C980141">
      <w:pPr>
        <w:pStyle w:val="4"/>
        <w:numPr>
          <w:ilvl w:val="0"/>
          <w:numId w:val="18"/>
        </w:numPr>
      </w:pPr>
      <w:r>
        <w:rPr>
          <w:rFonts w:hint="eastAsia"/>
        </w:rPr>
        <w:t>DLL_FORWARD_SIGNAL_RECV_IND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2452"/>
        <w:gridCol w:w="2158"/>
        <w:gridCol w:w="2738"/>
      </w:tblGrid>
      <w:tr w14:paraId="06D72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7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4E7514AC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CA6E033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8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8F3FCF0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33B5922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50A0C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shd w:val="clear" w:color="auto" w:fill="auto"/>
            <w:vAlign w:val="top"/>
          </w:tcPr>
          <w:p w14:paraId="080A400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0C483A32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srcSatId</w:t>
            </w:r>
          </w:p>
        </w:tc>
        <w:tc>
          <w:tcPr>
            <w:tcW w:w="2158" w:type="dxa"/>
            <w:shd w:val="clear" w:color="auto" w:fill="auto"/>
            <w:vAlign w:val="top"/>
          </w:tcPr>
          <w:p w14:paraId="49ED533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09EA15A">
            <w:pPr>
              <w:pStyle w:val="4"/>
              <w:ind w:firstLine="0" w:firstLineChars="0"/>
            </w:pPr>
            <w:r>
              <w:rPr>
                <w:rFonts w:hint="eastAsia"/>
              </w:rPr>
              <w:t>邻居卫星ID</w:t>
            </w:r>
          </w:p>
        </w:tc>
      </w:tr>
      <w:tr w14:paraId="35089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shd w:val="clear" w:color="auto" w:fill="auto"/>
            <w:vAlign w:val="top"/>
          </w:tcPr>
          <w:p w14:paraId="42D4D7F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7A6E805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58" w:type="dxa"/>
            <w:shd w:val="clear" w:color="auto" w:fill="auto"/>
            <w:vAlign w:val="top"/>
          </w:tcPr>
          <w:p w14:paraId="7C3E605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0004038B">
            <w:pPr>
              <w:pStyle w:val="4"/>
              <w:ind w:firstLine="0" w:firstLineChars="0"/>
            </w:pPr>
            <w:r>
              <w:rPr>
                <w:rFonts w:hint="eastAsia"/>
              </w:rPr>
              <w:t>本星ID</w:t>
            </w:r>
          </w:p>
        </w:tc>
      </w:tr>
      <w:tr w14:paraId="204CD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vAlign w:val="center"/>
          </w:tcPr>
          <w:p w14:paraId="2563182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52" w:type="dxa"/>
            <w:vAlign w:val="top"/>
          </w:tcPr>
          <w:p w14:paraId="65A2F6C2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msgLen</w:t>
            </w:r>
          </w:p>
        </w:tc>
        <w:tc>
          <w:tcPr>
            <w:tcW w:w="2158" w:type="dxa"/>
            <w:vAlign w:val="top"/>
          </w:tcPr>
          <w:p w14:paraId="37E15D7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vAlign w:val="center"/>
          </w:tcPr>
          <w:p w14:paraId="5BCB4617">
            <w:pPr>
              <w:pStyle w:val="4"/>
              <w:ind w:firstLine="0" w:firstLineChars="0"/>
            </w:pPr>
            <w:r>
              <w:rPr>
                <w:rFonts w:hint="eastAsia"/>
              </w:rPr>
              <w:t>接收到消息的长度</w:t>
            </w:r>
          </w:p>
        </w:tc>
      </w:tr>
      <w:tr w14:paraId="7E89B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vAlign w:val="center"/>
          </w:tcPr>
          <w:p w14:paraId="3E3337E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52" w:type="dxa"/>
            <w:vAlign w:val="top"/>
          </w:tcPr>
          <w:p w14:paraId="4DF5ACB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msgData[]</w:t>
            </w:r>
          </w:p>
        </w:tc>
        <w:tc>
          <w:tcPr>
            <w:tcW w:w="2158" w:type="dxa"/>
            <w:vAlign w:val="top"/>
          </w:tcPr>
          <w:p w14:paraId="64EF704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50B30312">
            <w:pPr>
              <w:pStyle w:val="4"/>
              <w:ind w:firstLine="0" w:firstLineChars="0"/>
            </w:pPr>
            <w:r>
              <w:rPr>
                <w:rFonts w:hint="eastAsia"/>
              </w:rPr>
              <w:t>接收到消息的内容</w:t>
            </w:r>
          </w:p>
        </w:tc>
      </w:tr>
      <w:tr w14:paraId="5CD21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vAlign w:val="center"/>
          </w:tcPr>
          <w:p w14:paraId="04D7092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52" w:type="dxa"/>
            <w:vAlign w:val="top"/>
          </w:tcPr>
          <w:p w14:paraId="4887BCA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stMeasInfo</w:t>
            </w:r>
          </w:p>
        </w:tc>
        <w:tc>
          <w:tcPr>
            <w:tcW w:w="2158" w:type="dxa"/>
            <w:vAlign w:val="top"/>
          </w:tcPr>
          <w:p w14:paraId="1A5DC43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MeasInfo_s</w:t>
            </w:r>
          </w:p>
        </w:tc>
        <w:tc>
          <w:tcPr>
            <w:tcW w:w="2738" w:type="dxa"/>
            <w:vAlign w:val="center"/>
          </w:tcPr>
          <w:p w14:paraId="1A3E2304">
            <w:pPr>
              <w:pStyle w:val="4"/>
              <w:ind w:firstLine="0" w:firstLineChars="0"/>
            </w:pPr>
            <w:r>
              <w:rPr>
                <w:rFonts w:hint="eastAsia"/>
              </w:rPr>
              <w:t>物理层测量信息</w:t>
            </w:r>
          </w:p>
        </w:tc>
      </w:tr>
    </w:tbl>
    <w:p w14:paraId="029114BF">
      <w:pPr>
        <w:pStyle w:val="4"/>
        <w:ind w:firstLine="0" w:firstLineChars="0"/>
      </w:pPr>
      <w:r>
        <w:rPr>
          <w:rFonts w:hint="eastAsia"/>
        </w:rPr>
        <w:t>其中，MeasInfo_s定义如下：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2452"/>
        <w:gridCol w:w="2158"/>
        <w:gridCol w:w="2738"/>
      </w:tblGrid>
      <w:tr w14:paraId="4CAA2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7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2D58D0D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590DEE7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8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41C410B8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9C243A7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328DF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shd w:val="clear" w:color="auto" w:fill="auto"/>
            <w:vAlign w:val="top"/>
          </w:tcPr>
          <w:p w14:paraId="3748DD1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015745E1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esn0LinerValue</w:t>
            </w:r>
          </w:p>
        </w:tc>
        <w:tc>
          <w:tcPr>
            <w:tcW w:w="2158" w:type="dxa"/>
            <w:shd w:val="clear" w:color="auto" w:fill="auto"/>
            <w:vAlign w:val="top"/>
          </w:tcPr>
          <w:p w14:paraId="0C207FE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55D6F551">
            <w:pPr>
              <w:pStyle w:val="4"/>
              <w:ind w:firstLine="0" w:firstLineChars="0"/>
            </w:pPr>
            <w:r>
              <w:rPr>
                <w:rFonts w:hint="eastAsia"/>
              </w:rPr>
              <w:t>邻居卫星ID</w:t>
            </w:r>
          </w:p>
        </w:tc>
      </w:tr>
      <w:tr w14:paraId="0D702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shd w:val="clear" w:color="auto" w:fill="auto"/>
            <w:vAlign w:val="top"/>
          </w:tcPr>
          <w:p w14:paraId="0C8436B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52" w:type="dxa"/>
            <w:shd w:val="clear" w:color="auto" w:fill="auto"/>
            <w:vAlign w:val="top"/>
          </w:tcPr>
          <w:p w14:paraId="47341FF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rssi</w:t>
            </w:r>
          </w:p>
        </w:tc>
        <w:tc>
          <w:tcPr>
            <w:tcW w:w="2158" w:type="dxa"/>
            <w:shd w:val="clear" w:color="auto" w:fill="auto"/>
            <w:vAlign w:val="top"/>
          </w:tcPr>
          <w:p w14:paraId="35BB088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63429C39">
            <w:pPr>
              <w:pStyle w:val="4"/>
              <w:ind w:firstLine="0" w:firstLineChars="0"/>
            </w:pPr>
            <w:r>
              <w:rPr>
                <w:rFonts w:hint="eastAsia"/>
              </w:rPr>
              <w:t>本星ID</w:t>
            </w:r>
          </w:p>
        </w:tc>
      </w:tr>
      <w:tr w14:paraId="0DAF1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vAlign w:val="center"/>
          </w:tcPr>
          <w:p w14:paraId="21EC5D5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52" w:type="dxa"/>
            <w:vAlign w:val="top"/>
          </w:tcPr>
          <w:p w14:paraId="03C6967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crc</w:t>
            </w:r>
          </w:p>
        </w:tc>
        <w:tc>
          <w:tcPr>
            <w:tcW w:w="2158" w:type="dxa"/>
            <w:vAlign w:val="top"/>
          </w:tcPr>
          <w:p w14:paraId="74866F3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vAlign w:val="center"/>
          </w:tcPr>
          <w:p w14:paraId="6464E4EC">
            <w:pPr>
              <w:pStyle w:val="4"/>
              <w:ind w:firstLine="0" w:firstLineChars="0"/>
            </w:pPr>
            <w:r>
              <w:rPr>
                <w:rFonts w:hint="eastAsia"/>
              </w:rPr>
              <w:t>接收到消息的长度</w:t>
            </w:r>
          </w:p>
        </w:tc>
      </w:tr>
    </w:tbl>
    <w:p w14:paraId="107B4B25">
      <w:pPr>
        <w:pStyle w:val="4"/>
        <w:numPr>
          <w:ilvl w:val="0"/>
          <w:numId w:val="18"/>
        </w:numPr>
      </w:pPr>
      <w:r>
        <w:rPr>
          <w:rFonts w:hint="eastAsia"/>
        </w:rPr>
        <w:t>FORWARD_DLL_SIGNAL_SEND_IND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64"/>
        <w:gridCol w:w="2152"/>
        <w:gridCol w:w="2738"/>
      </w:tblGrid>
      <w:tr w14:paraId="76CCA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64FE875B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39BA1C0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5499079C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0DC5C2B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6BACF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247E09C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1249D7A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srcSatId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35E322F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65C257BE">
            <w:pPr>
              <w:pStyle w:val="4"/>
              <w:ind w:firstLine="0" w:firstLineChars="0"/>
            </w:pPr>
            <w:r>
              <w:rPr>
                <w:rFonts w:hint="eastAsia"/>
              </w:rPr>
              <w:t>本卫星id</w:t>
            </w:r>
          </w:p>
        </w:tc>
      </w:tr>
      <w:tr w14:paraId="6CC2F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6658CFFF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78304D5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7014DFE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6BDF3361">
            <w:pPr>
              <w:pStyle w:val="4"/>
              <w:ind w:firstLine="0" w:firstLineChars="0"/>
            </w:pPr>
            <w:r>
              <w:rPr>
                <w:rFonts w:hint="eastAsia"/>
              </w:rPr>
              <w:t>下一跳卫星ID</w:t>
            </w:r>
          </w:p>
        </w:tc>
      </w:tr>
      <w:tr w14:paraId="51218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0EA03BB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34206ED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portId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5B491C40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1ECD9D8A">
            <w:pPr>
              <w:pStyle w:val="4"/>
              <w:ind w:firstLine="0" w:firstLineChars="0"/>
            </w:pPr>
            <w:r>
              <w:rPr>
                <w:rFonts w:hint="eastAsia"/>
              </w:rPr>
              <w:t>出端口</w:t>
            </w:r>
          </w:p>
        </w:tc>
      </w:tr>
      <w:tr w14:paraId="10F99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0F0E5A4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34AA264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frameSize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7E8ADBB0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01AD8BD">
            <w:pPr>
              <w:pStyle w:val="4"/>
              <w:ind w:firstLine="0" w:firstLineChars="0"/>
            </w:pPr>
            <w:r>
              <w:rPr>
                <w:rFonts w:hint="eastAsia"/>
              </w:rPr>
              <w:t>物理层帧承载大小</w:t>
            </w:r>
          </w:p>
        </w:tc>
      </w:tr>
      <w:tr w14:paraId="6D393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512636D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64" w:type="dxa"/>
            <w:vAlign w:val="top"/>
          </w:tcPr>
          <w:p w14:paraId="42125AA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msgLen</w:t>
            </w:r>
          </w:p>
        </w:tc>
        <w:tc>
          <w:tcPr>
            <w:tcW w:w="2152" w:type="dxa"/>
            <w:vAlign w:val="top"/>
          </w:tcPr>
          <w:p w14:paraId="552D7BC2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vAlign w:val="center"/>
          </w:tcPr>
          <w:p w14:paraId="4CF1A44E">
            <w:pPr>
              <w:pStyle w:val="4"/>
              <w:ind w:firstLine="0" w:firstLineChars="0"/>
            </w:pPr>
            <w:r>
              <w:rPr>
                <w:rFonts w:hint="eastAsia"/>
              </w:rPr>
              <w:t>L2S信令大小</w:t>
            </w:r>
          </w:p>
        </w:tc>
      </w:tr>
      <w:tr w14:paraId="6FB86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vAlign w:val="center"/>
          </w:tcPr>
          <w:p w14:paraId="46A2EF5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464" w:type="dxa"/>
            <w:vAlign w:val="top"/>
          </w:tcPr>
          <w:p w14:paraId="73C5249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msgData[]</w:t>
            </w:r>
          </w:p>
        </w:tc>
        <w:tc>
          <w:tcPr>
            <w:tcW w:w="2152" w:type="dxa"/>
            <w:vAlign w:val="top"/>
          </w:tcPr>
          <w:p w14:paraId="6D1986F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vAlign w:val="center"/>
          </w:tcPr>
          <w:p w14:paraId="075C01A9">
            <w:pPr>
              <w:pStyle w:val="4"/>
              <w:ind w:firstLine="0" w:firstLineChars="0"/>
            </w:pPr>
            <w:r>
              <w:rPr>
                <w:rFonts w:hint="eastAsia"/>
              </w:rPr>
              <w:t>L2S信令内容</w:t>
            </w:r>
          </w:p>
        </w:tc>
      </w:tr>
    </w:tbl>
    <w:p w14:paraId="102CB011">
      <w:pPr>
        <w:pStyle w:val="4"/>
        <w:numPr>
          <w:ilvl w:val="0"/>
          <w:numId w:val="18"/>
        </w:numPr>
      </w:pPr>
      <w:r>
        <w:rPr>
          <w:rFonts w:hint="eastAsia"/>
        </w:rPr>
        <w:t>DLL_FORWARD_ROUTABLE_MEMBER_ADD_IND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64"/>
        <w:gridCol w:w="2152"/>
        <w:gridCol w:w="2738"/>
      </w:tblGrid>
      <w:tr w14:paraId="005BA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D6B2F0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3F8EC60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6F90F2D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6C2203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3E1DC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57E59F5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1F1F5E5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srcSatId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1172461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67F85D3C">
            <w:pPr>
              <w:pStyle w:val="4"/>
              <w:ind w:firstLine="0" w:firstLineChars="0"/>
            </w:pPr>
            <w:r>
              <w:rPr>
                <w:rFonts w:hint="eastAsia"/>
              </w:rPr>
              <w:t>本星ID</w:t>
            </w:r>
          </w:p>
        </w:tc>
      </w:tr>
      <w:tr w14:paraId="5EA82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179EBA3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3F5AA7C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13E4127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2FA4C1B6">
            <w:pPr>
              <w:pStyle w:val="4"/>
              <w:ind w:firstLine="0" w:firstLineChars="0"/>
            </w:pPr>
            <w:r>
              <w:rPr>
                <w:rFonts w:hint="eastAsia"/>
              </w:rPr>
              <w:t>最终目的卫星ID</w:t>
            </w:r>
          </w:p>
        </w:tc>
      </w:tr>
    </w:tbl>
    <w:p w14:paraId="73F5BA2D">
      <w:pPr>
        <w:pStyle w:val="4"/>
        <w:numPr>
          <w:ilvl w:val="0"/>
          <w:numId w:val="18"/>
        </w:numPr>
      </w:pPr>
      <w:r>
        <w:rPr>
          <w:rFonts w:hint="eastAsia"/>
        </w:rPr>
        <w:t>FORWARD_DLL_ROUTABLE_MEMBER_ADD_RESP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64"/>
        <w:gridCol w:w="2152"/>
        <w:gridCol w:w="2738"/>
      </w:tblGrid>
      <w:tr w14:paraId="18DBA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4F455F2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C91F9A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7238C95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9D4EED9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0C3DA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3EEBBC2C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749EC40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srcSatId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09D3AE9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18DDB38B">
            <w:pPr>
              <w:pStyle w:val="4"/>
              <w:ind w:firstLine="0" w:firstLineChars="0"/>
            </w:pPr>
            <w:r>
              <w:rPr>
                <w:rFonts w:hint="eastAsia"/>
              </w:rPr>
              <w:t>本星ID</w:t>
            </w:r>
          </w:p>
        </w:tc>
      </w:tr>
      <w:tr w14:paraId="229B4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34996A7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7C96A6C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3A89260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A853050">
            <w:pPr>
              <w:pStyle w:val="4"/>
              <w:ind w:firstLine="0" w:firstLineChars="0"/>
            </w:pPr>
            <w:r>
              <w:rPr>
                <w:rFonts w:hint="eastAsia"/>
              </w:rPr>
              <w:t>最终目的卫星ID</w:t>
            </w:r>
          </w:p>
        </w:tc>
      </w:tr>
      <w:tr w14:paraId="3C53C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3B40AEF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3B8580E4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Status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0BAE7D0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Bool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FFF32FC">
            <w:pPr>
              <w:pStyle w:val="4"/>
              <w:ind w:firstLine="0" w:firstLineChars="0"/>
            </w:pPr>
            <w:r>
              <w:rPr>
                <w:rFonts w:hint="eastAsia"/>
              </w:rPr>
              <w:t>0：成功；1：失败</w:t>
            </w:r>
          </w:p>
        </w:tc>
      </w:tr>
    </w:tbl>
    <w:p w14:paraId="74C47641">
      <w:pPr>
        <w:pStyle w:val="9"/>
      </w:pPr>
      <w:r>
        <w:rPr>
          <w:rFonts w:hint="eastAsia"/>
        </w:rPr>
        <w:t>L2S与ROUTER接口</w:t>
      </w:r>
    </w:p>
    <w:p w14:paraId="2FF99BAB">
      <w:pPr>
        <w:pStyle w:val="4"/>
        <w:numPr>
          <w:ilvl w:val="0"/>
          <w:numId w:val="19"/>
        </w:numPr>
      </w:pPr>
      <w:r>
        <w:rPr>
          <w:rFonts w:hint="eastAsia"/>
        </w:rPr>
        <w:t>L2S_ROUTER_NBR_UPDATE_IND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"/>
        <w:gridCol w:w="1976"/>
        <w:gridCol w:w="1726"/>
        <w:gridCol w:w="1726"/>
        <w:gridCol w:w="2196"/>
      </w:tblGrid>
      <w:tr w14:paraId="7B9ED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09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5D5B2EF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1976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423E3D10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1726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68B9582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子项</w:t>
            </w:r>
          </w:p>
        </w:tc>
        <w:tc>
          <w:tcPr>
            <w:tcW w:w="1726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9783CCB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196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04C1030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47F3B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5" w:type="dxa"/>
            <w:shd w:val="clear" w:color="auto" w:fill="auto"/>
            <w:vAlign w:val="top"/>
          </w:tcPr>
          <w:p w14:paraId="16F4DAD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76" w:type="dxa"/>
            <w:shd w:val="clear" w:color="auto" w:fill="auto"/>
            <w:vAlign w:val="top"/>
          </w:tcPr>
          <w:p w14:paraId="4A7CFC4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NbrCnt</w:t>
            </w:r>
          </w:p>
        </w:tc>
        <w:tc>
          <w:tcPr>
            <w:tcW w:w="1726" w:type="dxa"/>
            <w:shd w:val="clear" w:color="auto" w:fill="auto"/>
            <w:vAlign w:val="top"/>
          </w:tcPr>
          <w:p w14:paraId="37E6AE72">
            <w:pPr>
              <w:pStyle w:val="4"/>
              <w:ind w:firstLine="0" w:firstLineChars="0"/>
              <w:jc w:val="center"/>
            </w:pPr>
          </w:p>
        </w:tc>
        <w:tc>
          <w:tcPr>
            <w:tcW w:w="1726" w:type="dxa"/>
            <w:shd w:val="clear" w:color="auto" w:fill="auto"/>
            <w:vAlign w:val="top"/>
          </w:tcPr>
          <w:p w14:paraId="27BF1AEA">
            <w:pPr>
              <w:pStyle w:val="4"/>
              <w:ind w:firstLine="0" w:firstLineChars="0"/>
              <w:jc w:val="center"/>
            </w:pPr>
          </w:p>
        </w:tc>
        <w:tc>
          <w:tcPr>
            <w:tcW w:w="2196" w:type="dxa"/>
            <w:shd w:val="clear" w:color="auto" w:fill="auto"/>
            <w:vAlign w:val="top"/>
          </w:tcPr>
          <w:p w14:paraId="69785221">
            <w:pPr>
              <w:pStyle w:val="4"/>
              <w:ind w:firstLine="0" w:firstLineChars="0"/>
            </w:pPr>
          </w:p>
        </w:tc>
      </w:tr>
      <w:tr w14:paraId="68817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5" w:type="dxa"/>
            <w:vMerge w:val="restart"/>
            <w:shd w:val="clear" w:color="auto" w:fill="auto"/>
            <w:vAlign w:val="top"/>
          </w:tcPr>
          <w:p w14:paraId="6B7381E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76" w:type="dxa"/>
            <w:vMerge w:val="restart"/>
            <w:shd w:val="clear" w:color="auto" w:fill="auto"/>
            <w:vAlign w:val="top"/>
          </w:tcPr>
          <w:p w14:paraId="494AC6D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NbrSatInfo[]</w:t>
            </w:r>
          </w:p>
        </w:tc>
        <w:tc>
          <w:tcPr>
            <w:tcW w:w="1726" w:type="dxa"/>
            <w:shd w:val="clear" w:color="auto" w:fill="auto"/>
            <w:vAlign w:val="top"/>
          </w:tcPr>
          <w:p w14:paraId="54BB1D2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nbrSatId</w:t>
            </w:r>
          </w:p>
        </w:tc>
        <w:tc>
          <w:tcPr>
            <w:tcW w:w="1726" w:type="dxa"/>
            <w:shd w:val="clear" w:color="auto" w:fill="auto"/>
            <w:vAlign w:val="top"/>
          </w:tcPr>
          <w:p w14:paraId="295AC62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196" w:type="dxa"/>
            <w:shd w:val="clear" w:color="auto" w:fill="auto"/>
            <w:vAlign w:val="top"/>
          </w:tcPr>
          <w:p w14:paraId="1A707D3E">
            <w:pPr>
              <w:pStyle w:val="4"/>
              <w:ind w:firstLine="0" w:firstLineChars="0"/>
            </w:pPr>
            <w:r>
              <w:rPr>
                <w:rFonts w:hint="eastAsia"/>
              </w:rPr>
              <w:t>邻居卫星ID</w:t>
            </w:r>
          </w:p>
        </w:tc>
      </w:tr>
      <w:tr w14:paraId="0D247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5" w:type="dxa"/>
            <w:vMerge w:val="continue"/>
            <w:shd w:val="clear" w:color="auto" w:fill="auto"/>
            <w:vAlign w:val="top"/>
          </w:tcPr>
          <w:p w14:paraId="4A41BB2D">
            <w:pPr>
              <w:pStyle w:val="4"/>
              <w:ind w:firstLine="0" w:firstLineChars="0"/>
              <w:jc w:val="center"/>
            </w:pPr>
          </w:p>
        </w:tc>
        <w:tc>
          <w:tcPr>
            <w:tcW w:w="1976" w:type="dxa"/>
            <w:vMerge w:val="continue"/>
            <w:shd w:val="clear" w:color="auto" w:fill="auto"/>
            <w:vAlign w:val="top"/>
          </w:tcPr>
          <w:p w14:paraId="56B68D8E">
            <w:pPr>
              <w:pStyle w:val="4"/>
              <w:ind w:firstLine="0" w:firstLineChars="0"/>
              <w:jc w:val="center"/>
            </w:pPr>
          </w:p>
        </w:tc>
        <w:tc>
          <w:tcPr>
            <w:tcW w:w="1726" w:type="dxa"/>
            <w:shd w:val="clear" w:color="auto" w:fill="auto"/>
            <w:vAlign w:val="top"/>
          </w:tcPr>
          <w:p w14:paraId="3461631E">
            <w:pPr>
              <w:pStyle w:val="4"/>
              <w:ind w:firstLine="0" w:firstLineChars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metric</w:t>
            </w:r>
          </w:p>
        </w:tc>
        <w:tc>
          <w:tcPr>
            <w:tcW w:w="1726" w:type="dxa"/>
            <w:shd w:val="clear" w:color="auto" w:fill="auto"/>
            <w:vAlign w:val="top"/>
          </w:tcPr>
          <w:p w14:paraId="17244A45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196" w:type="dxa"/>
            <w:shd w:val="clear" w:color="auto" w:fill="auto"/>
            <w:vAlign w:val="top"/>
          </w:tcPr>
          <w:p w14:paraId="664200C5">
            <w:pPr>
              <w:pStyle w:val="4"/>
              <w:ind w:firstLine="0" w:firstLineChars="0"/>
            </w:pPr>
            <w:r>
              <w:rPr>
                <w:rFonts w:hint="eastAsia"/>
              </w:rPr>
              <w:t>代价</w:t>
            </w:r>
          </w:p>
        </w:tc>
      </w:tr>
    </w:tbl>
    <w:p w14:paraId="4C32937D">
      <w:pPr>
        <w:pStyle w:val="4"/>
        <w:ind w:firstLine="0" w:firstLineChars="0"/>
      </w:pPr>
    </w:p>
    <w:p w14:paraId="4B510910">
      <w:pPr>
        <w:pStyle w:val="4"/>
        <w:numPr>
          <w:ilvl w:val="0"/>
          <w:numId w:val="19"/>
        </w:numPr>
      </w:pPr>
      <w:r>
        <w:rPr>
          <w:rFonts w:hint="eastAsia"/>
        </w:rPr>
        <w:t>L2S_ROUTER_NBR_REMOVE_IND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64"/>
        <w:gridCol w:w="2152"/>
        <w:gridCol w:w="2738"/>
      </w:tblGrid>
      <w:tr w14:paraId="20632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7ED57ECE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5F6E966D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308DBB86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485FDB0C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5597F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17CC04E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08E52083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nbrCnt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591CE81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45011539">
            <w:pPr>
              <w:pStyle w:val="4"/>
              <w:ind w:firstLine="0" w:firstLineChars="0"/>
            </w:pPr>
            <w:r>
              <w:rPr>
                <w:rFonts w:hint="eastAsia"/>
              </w:rPr>
              <w:t>待删除邻居卫星数量</w:t>
            </w:r>
          </w:p>
        </w:tc>
      </w:tr>
      <w:tr w14:paraId="20D8A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41A419DB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4F80ADBD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nbrSatId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16961AEE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1793EC30">
            <w:pPr>
              <w:pStyle w:val="4"/>
              <w:ind w:firstLine="0" w:firstLineChars="0"/>
            </w:pPr>
            <w:r>
              <w:rPr>
                <w:rFonts w:hint="eastAsia"/>
              </w:rPr>
              <w:t>邻居卫星ID</w:t>
            </w:r>
          </w:p>
        </w:tc>
      </w:tr>
    </w:tbl>
    <w:p w14:paraId="3328F118">
      <w:pPr>
        <w:pStyle w:val="9"/>
      </w:pPr>
      <w:r>
        <w:rPr>
          <w:rFonts w:hint="eastAsia"/>
        </w:rPr>
        <w:t>FORWARD与ROUTER接口</w:t>
      </w:r>
    </w:p>
    <w:p w14:paraId="44B5E7BB">
      <w:pPr>
        <w:pStyle w:val="4"/>
      </w:pPr>
      <w:r>
        <w:rPr>
          <w:rFonts w:hint="eastAsia"/>
        </w:rPr>
        <w:t>1）ROUTER_FORWARD_ROUTABLE_UPDATE_IND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464"/>
        <w:gridCol w:w="2152"/>
        <w:gridCol w:w="2738"/>
      </w:tblGrid>
      <w:tr w14:paraId="34B17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187CBC0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序号</w:t>
            </w:r>
          </w:p>
        </w:tc>
        <w:tc>
          <w:tcPr>
            <w:tcW w:w="2464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21A03DEC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字段</w:t>
            </w:r>
          </w:p>
        </w:tc>
        <w:tc>
          <w:tcPr>
            <w:tcW w:w="2152" w:type="dxa"/>
            <w:tcBorders>
              <w:top w:val="single" w:color="auto" w:sz="12" w:space="0"/>
              <w:bottom w:val="single" w:color="auto" w:sz="12" w:space="0"/>
              <w:right w:val="single" w:color="auto" w:sz="6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1B7450E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类型</w:t>
            </w:r>
          </w:p>
        </w:tc>
        <w:tc>
          <w:tcPr>
            <w:tcW w:w="2738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  <w:insideH w:val="single" w:sz="12" w:space="0"/>
              <w:insideV w:val="single" w:sz="6" w:space="0"/>
              <w:tl2br w:val="nil"/>
              <w:tr2bl w:val="nil"/>
            </w:tcBorders>
            <w:shd w:val="clear" w:color="auto" w:fill="auto"/>
            <w:noWrap/>
            <w:vAlign w:val="top"/>
          </w:tcPr>
          <w:p w14:paraId="5850F41A">
            <w:pPr>
              <w:pStyle w:val="4"/>
              <w:ind w:firstLine="0" w:firstLineChars="0"/>
              <w:jc w:val="center"/>
              <w:rPr>
                <w:rFonts w:ascii="Times New Roman" w:hAnsi="Times New Roman" w:eastAsia="宋体"/>
                <w:highlight w:val="darkGray"/>
                <w:shd w:val="clear" w:color="FFFFFF" w:fill="D9D9D9"/>
              </w:rPr>
            </w:pPr>
            <w:r>
              <w:rPr>
                <w:rFonts w:hint="eastAsia" w:ascii="Times New Roman" w:hAnsi="Times New Roman" w:eastAsia="宋体"/>
                <w:highlight w:val="darkGray"/>
                <w:shd w:val="clear" w:color="FFFFFF" w:fill="D9D9D9"/>
              </w:rPr>
              <w:t>描述</w:t>
            </w:r>
          </w:p>
        </w:tc>
      </w:tr>
      <w:tr w14:paraId="10FD4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16C17C19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17C2779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DestSatId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1A72B1A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D160652">
            <w:pPr>
              <w:pStyle w:val="4"/>
              <w:ind w:firstLine="0" w:firstLineChars="0"/>
            </w:pPr>
            <w:r>
              <w:rPr>
                <w:rFonts w:hint="eastAsia"/>
              </w:rPr>
              <w:t>本星ID</w:t>
            </w:r>
          </w:p>
        </w:tc>
      </w:tr>
      <w:tr w14:paraId="711C8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5FFAED20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3867D518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NextHopSatId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0266C5D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uint16_t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3BC0DE4A">
            <w:pPr>
              <w:pStyle w:val="4"/>
              <w:ind w:firstLine="0" w:firstLineChars="0"/>
            </w:pPr>
            <w:r>
              <w:rPr>
                <w:rFonts w:hint="eastAsia"/>
              </w:rPr>
              <w:t>最终目的卫星ID</w:t>
            </w:r>
          </w:p>
        </w:tc>
      </w:tr>
      <w:tr w14:paraId="2F1CB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6" w:type="dxa"/>
            <w:shd w:val="clear" w:color="auto" w:fill="auto"/>
            <w:vAlign w:val="top"/>
          </w:tcPr>
          <w:p w14:paraId="6EC6D74A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64" w:type="dxa"/>
            <w:shd w:val="clear" w:color="auto" w:fill="auto"/>
            <w:vAlign w:val="top"/>
          </w:tcPr>
          <w:p w14:paraId="5D3E1337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portId</w:t>
            </w:r>
          </w:p>
        </w:tc>
        <w:tc>
          <w:tcPr>
            <w:tcW w:w="2152" w:type="dxa"/>
            <w:shd w:val="clear" w:color="auto" w:fill="auto"/>
            <w:vAlign w:val="top"/>
          </w:tcPr>
          <w:p w14:paraId="3173FD06">
            <w:pPr>
              <w:pStyle w:val="4"/>
              <w:ind w:firstLine="0" w:firstLineChars="0"/>
              <w:jc w:val="center"/>
            </w:pPr>
            <w:r>
              <w:rPr>
                <w:rFonts w:hint="eastAsia"/>
              </w:rPr>
              <w:t>uint8_t</w:t>
            </w:r>
          </w:p>
        </w:tc>
        <w:tc>
          <w:tcPr>
            <w:tcW w:w="2738" w:type="dxa"/>
            <w:shd w:val="clear" w:color="auto" w:fill="auto"/>
            <w:vAlign w:val="top"/>
          </w:tcPr>
          <w:p w14:paraId="49BE9311">
            <w:pPr>
              <w:pStyle w:val="4"/>
              <w:ind w:firstLine="0" w:firstLineChars="0"/>
            </w:pPr>
            <w:r>
              <w:rPr>
                <w:rFonts w:hint="eastAsia"/>
              </w:rPr>
              <w:t>下一跳对应的端口</w:t>
            </w:r>
          </w:p>
        </w:tc>
      </w:tr>
    </w:tbl>
    <w:p w14:paraId="7C73C0D5">
      <w:pPr>
        <w:pStyle w:val="4"/>
        <w:ind w:firstLine="0" w:firstLineChars="0"/>
      </w:pPr>
    </w:p>
    <w:p w14:paraId="7FB9A549">
      <w:pPr>
        <w:pStyle w:val="9"/>
      </w:pPr>
      <w:r>
        <w:rPr>
          <w:rFonts w:hint="eastAsia"/>
        </w:rPr>
        <w:t>与OM接口</w:t>
      </w:r>
    </w:p>
    <w:p w14:paraId="1006CFBE">
      <w:pPr>
        <w:pStyle w:val="4"/>
      </w:pPr>
    </w:p>
    <w:p w14:paraId="705C66FD">
      <w:pPr>
        <w:pStyle w:val="4"/>
      </w:pPr>
    </w:p>
    <w:p w14:paraId="23E7F63E">
      <w:pPr>
        <w:pStyle w:val="4"/>
      </w:pPr>
    </w:p>
    <w:permEnd w:id="0"/>
    <w:p w14:paraId="14DE6598">
      <w:pPr>
        <w:pStyle w:val="4"/>
      </w:pPr>
    </w:p>
    <w:sectPr>
      <w:pgSz w:w="11906" w:h="16838"/>
      <w:pgMar w:top="1418" w:right="1701" w:bottom="1418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988CC">
    <w:pPr>
      <w:pStyle w:val="2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F671C">
    <w:pPr>
      <w:pStyle w:val="2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A12D9">
    <w:pPr>
      <w:pStyle w:val="2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2692">
    <w:pPr>
      <w:pStyle w:val="24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726CB3">
    <w:pPr>
      <w:pStyle w:val="2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65109">
    <w:pPr>
      <w:pStyle w:val="2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B3D783">
    <w:pPr>
      <w:pStyle w:val="2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1EEF5C"/>
    <w:multiLevelType w:val="singleLevel"/>
    <w:tmpl w:val="B21EEF5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11B7F47"/>
    <w:multiLevelType w:val="singleLevel"/>
    <w:tmpl w:val="E11B7F4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92B3B40"/>
    <w:multiLevelType w:val="singleLevel"/>
    <w:tmpl w:val="E92B3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4442088"/>
    <w:multiLevelType w:val="singleLevel"/>
    <w:tmpl w:val="04442088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0B02FB95"/>
    <w:multiLevelType w:val="singleLevel"/>
    <w:tmpl w:val="0B02FB95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0E0E6B0A"/>
    <w:multiLevelType w:val="multilevel"/>
    <w:tmpl w:val="0E0E6B0A"/>
    <w:lvl w:ilvl="0" w:tentative="0">
      <w:start w:val="1"/>
      <w:numFmt w:val="upperLetter"/>
      <w:pStyle w:val="86"/>
      <w:lvlText w:val="附录%1"/>
      <w:lvlJc w:val="left"/>
      <w:pPr>
        <w:tabs>
          <w:tab w:val="left" w:pos="1134"/>
        </w:tabs>
        <w:ind w:left="0" w:firstLine="0"/>
      </w:pPr>
      <w:rPr>
        <w:rFonts w:hint="eastAsia" w:ascii="黑体" w:eastAsia="黑体"/>
        <w:b w:val="0"/>
        <w:i w:val="0"/>
        <w:sz w:val="28"/>
      </w:rPr>
    </w:lvl>
    <w:lvl w:ilvl="1" w:tentative="0">
      <w:start w:val="1"/>
      <w:numFmt w:val="decimal"/>
      <w:pStyle w:val="88"/>
      <w:lvlText w:val="%1.%2"/>
      <w:lvlJc w:val="left"/>
      <w:pPr>
        <w:tabs>
          <w:tab w:val="left" w:pos="1418"/>
        </w:tabs>
        <w:ind w:left="0" w:firstLine="0"/>
      </w:pPr>
      <w:rPr>
        <w:rFonts w:hint="eastAsia" w:ascii="黑体" w:eastAsia="黑体"/>
        <w:b w:val="0"/>
        <w:i w:val="0"/>
        <w:sz w:val="28"/>
      </w:rPr>
    </w:lvl>
    <w:lvl w:ilvl="2" w:tentative="0">
      <w:start w:val="1"/>
      <w:numFmt w:val="decimal"/>
      <w:pStyle w:val="90"/>
      <w:lvlText w:val="%1.%2.%3"/>
      <w:lvlJc w:val="left"/>
      <w:pPr>
        <w:tabs>
          <w:tab w:val="left" w:pos="1418"/>
        </w:tabs>
        <w:ind w:left="0" w:firstLine="0"/>
      </w:pPr>
      <w:rPr>
        <w:rFonts w:hint="eastAsia" w:ascii="黑体" w:eastAsia="黑体"/>
        <w:b w:val="0"/>
        <w:i w:val="0"/>
        <w:sz w:val="28"/>
      </w:rPr>
    </w:lvl>
    <w:lvl w:ilvl="3" w:tentative="0">
      <w:start w:val="1"/>
      <w:numFmt w:val="decimal"/>
      <w:pStyle w:val="92"/>
      <w:lvlText w:val="%1.%2.%3.%4"/>
      <w:lvlJc w:val="left"/>
      <w:pPr>
        <w:tabs>
          <w:tab w:val="left" w:pos="1701"/>
        </w:tabs>
        <w:ind w:left="0" w:firstLine="0"/>
      </w:pPr>
      <w:rPr>
        <w:rFonts w:hint="eastAsia" w:ascii="黑体" w:eastAsia="黑体"/>
        <w:b w:val="0"/>
        <w:i w:val="0"/>
        <w:sz w:val="28"/>
      </w:rPr>
    </w:lvl>
    <w:lvl w:ilvl="4" w:tentative="0">
      <w:start w:val="1"/>
      <w:numFmt w:val="decimal"/>
      <w:lvlRestart w:val="1"/>
      <w:pStyle w:val="76"/>
      <w:lvlText w:val="表%1.%5"/>
      <w:lvlJc w:val="center"/>
      <w:pPr>
        <w:tabs>
          <w:tab w:val="left" w:pos="567"/>
        </w:tabs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lvlRestart w:val="1"/>
      <w:pStyle w:val="74"/>
      <w:lvlText w:val="图%1.%6"/>
      <w:lvlJc w:val="center"/>
      <w:pPr>
        <w:tabs>
          <w:tab w:val="left" w:pos="567"/>
        </w:tabs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center"/>
      <w:pPr>
        <w:tabs>
          <w:tab w:val="left" w:pos="0"/>
        </w:tabs>
        <w:ind w:left="0" w:firstLine="288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6">
    <w:nsid w:val="13217E4C"/>
    <w:multiLevelType w:val="multilevel"/>
    <w:tmpl w:val="13217E4C"/>
    <w:lvl w:ilvl="0" w:tentative="0">
      <w:start w:val="1"/>
      <w:numFmt w:val="decimal"/>
      <w:pStyle w:val="60"/>
      <w:lvlText w:val="(%1)"/>
      <w:lvlJc w:val="left"/>
      <w:pPr>
        <w:tabs>
          <w:tab w:val="left" w:pos="1175"/>
        </w:tabs>
        <w:ind w:left="1175" w:hanging="325"/>
      </w:pPr>
      <w:rPr>
        <w:rFonts w:ascii="Times New Roman" w:hAnsi="Times New Roman" w:eastAsia="宋体" w:cstheme="minorBidi"/>
      </w:rPr>
    </w:lvl>
    <w:lvl w:ilvl="1" w:tentative="0">
      <w:start w:val="1"/>
      <w:numFmt w:val="lowerLetter"/>
      <w:lvlText w:val="%2)"/>
      <w:lvlJc w:val="left"/>
      <w:pPr>
        <w:ind w:left="1792" w:hanging="440"/>
      </w:pPr>
    </w:lvl>
    <w:lvl w:ilvl="2" w:tentative="0">
      <w:start w:val="1"/>
      <w:numFmt w:val="lowerRoman"/>
      <w:lvlText w:val="%3."/>
      <w:lvlJc w:val="right"/>
      <w:pPr>
        <w:ind w:left="2232" w:hanging="440"/>
      </w:pPr>
    </w:lvl>
    <w:lvl w:ilvl="3" w:tentative="0">
      <w:start w:val="1"/>
      <w:numFmt w:val="decimal"/>
      <w:lvlText w:val="%4."/>
      <w:lvlJc w:val="left"/>
      <w:pPr>
        <w:ind w:left="2672" w:hanging="440"/>
      </w:pPr>
    </w:lvl>
    <w:lvl w:ilvl="4" w:tentative="0">
      <w:start w:val="1"/>
      <w:numFmt w:val="lowerLetter"/>
      <w:lvlText w:val="%5)"/>
      <w:lvlJc w:val="left"/>
      <w:pPr>
        <w:ind w:left="3112" w:hanging="440"/>
      </w:pPr>
    </w:lvl>
    <w:lvl w:ilvl="5" w:tentative="0">
      <w:start w:val="1"/>
      <w:numFmt w:val="lowerRoman"/>
      <w:lvlText w:val="%6."/>
      <w:lvlJc w:val="right"/>
      <w:pPr>
        <w:ind w:left="3552" w:hanging="440"/>
      </w:pPr>
    </w:lvl>
    <w:lvl w:ilvl="6" w:tentative="0">
      <w:start w:val="1"/>
      <w:numFmt w:val="decimal"/>
      <w:lvlText w:val="%7."/>
      <w:lvlJc w:val="left"/>
      <w:pPr>
        <w:ind w:left="3992" w:hanging="440"/>
      </w:pPr>
    </w:lvl>
    <w:lvl w:ilvl="7" w:tentative="0">
      <w:start w:val="1"/>
      <w:numFmt w:val="lowerLetter"/>
      <w:lvlText w:val="%8)"/>
      <w:lvlJc w:val="left"/>
      <w:pPr>
        <w:ind w:left="4432" w:hanging="440"/>
      </w:pPr>
    </w:lvl>
    <w:lvl w:ilvl="8" w:tentative="0">
      <w:start w:val="1"/>
      <w:numFmt w:val="lowerRoman"/>
      <w:lvlText w:val="%9."/>
      <w:lvlJc w:val="right"/>
      <w:pPr>
        <w:ind w:left="4872" w:hanging="440"/>
      </w:pPr>
    </w:lvl>
  </w:abstractNum>
  <w:abstractNum w:abstractNumId="7">
    <w:nsid w:val="2ED55DFC"/>
    <w:multiLevelType w:val="multilevel"/>
    <w:tmpl w:val="2ED55DFC"/>
    <w:lvl w:ilvl="0" w:tentative="0">
      <w:start w:val="1"/>
      <w:numFmt w:val="decimal"/>
      <w:pStyle w:val="2"/>
      <w:lvlText w:val="%1"/>
      <w:lvlJc w:val="left"/>
      <w:pPr>
        <w:tabs>
          <w:tab w:val="left" w:pos="482"/>
        </w:tabs>
        <w:ind w:left="0" w:firstLine="0"/>
      </w:pPr>
      <w:rPr>
        <w:rFonts w:hint="eastAsia" w:ascii="黑体" w:hAnsi="Times New Roman" w:eastAsia="黑体"/>
        <w:b w:val="0"/>
        <w:i w:val="0"/>
        <w:sz w:val="28"/>
      </w:rPr>
    </w:lvl>
    <w:lvl w:ilvl="1" w:tentative="0">
      <w:start w:val="1"/>
      <w:numFmt w:val="decimal"/>
      <w:pStyle w:val="5"/>
      <w:lvlText w:val="%1.%2"/>
      <w:lvlJc w:val="left"/>
      <w:pPr>
        <w:tabs>
          <w:tab w:val="left" w:pos="737"/>
        </w:tabs>
        <w:ind w:left="0" w:firstLine="0"/>
      </w:pPr>
      <w:rPr>
        <w:rFonts w:hint="eastAsia" w:ascii="黑体" w:hAnsi="Times New Roman" w:eastAsia="黑体"/>
        <w:b w:val="0"/>
        <w:i w:val="0"/>
        <w:sz w:val="28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1134"/>
        </w:tabs>
        <w:ind w:left="0" w:firstLine="0"/>
      </w:pPr>
    </w:lvl>
    <w:lvl w:ilvl="3" w:tentative="0">
      <w:start w:val="1"/>
      <w:numFmt w:val="decimal"/>
      <w:pStyle w:val="9"/>
      <w:lvlText w:val="%1.%2.%3.%4"/>
      <w:lvlJc w:val="left"/>
      <w:pPr>
        <w:tabs>
          <w:tab w:val="left" w:pos="1418"/>
        </w:tabs>
        <w:ind w:left="0" w:firstLine="0"/>
      </w:pPr>
      <w:rPr>
        <w:rFonts w:hint="eastAsia" w:ascii="黑体" w:hAnsi="Times New Roman" w:eastAsia="黑体"/>
        <w:b w:val="0"/>
        <w:i w:val="0"/>
        <w:sz w:val="28"/>
      </w:rPr>
    </w:lvl>
    <w:lvl w:ilvl="4" w:tentative="0">
      <w:start w:val="1"/>
      <w:numFmt w:val="decimal"/>
      <w:pStyle w:val="11"/>
      <w:lvlText w:val="%1.%2.%3.%4.%5"/>
      <w:lvlJc w:val="left"/>
      <w:pPr>
        <w:tabs>
          <w:tab w:val="left" w:pos="1701"/>
        </w:tabs>
        <w:ind w:left="0" w:firstLine="0"/>
      </w:pPr>
      <w:rPr>
        <w:rFonts w:hint="eastAsia" w:ascii="黑体" w:hAnsi="Times New Roman" w:eastAsia="黑体"/>
        <w:b w:val="0"/>
        <w:i w:val="0"/>
        <w:sz w:val="28"/>
      </w:rPr>
    </w:lvl>
    <w:lvl w:ilvl="5" w:tentative="0">
      <w:start w:val="1"/>
      <w:numFmt w:val="decimal"/>
      <w:lvlRestart w:val="0"/>
      <w:pStyle w:val="13"/>
      <w:lvlText w:val="%1.%2.%3.%4.%5.%6"/>
      <w:lvlJc w:val="left"/>
      <w:pPr>
        <w:tabs>
          <w:tab w:val="left" w:pos="1701"/>
        </w:tabs>
        <w:ind w:left="0" w:firstLine="0"/>
      </w:pPr>
      <w:rPr>
        <w:rFonts w:hint="eastAsia" w:ascii="黑体" w:hAnsi="Times New Roman" w:eastAsia="黑体"/>
        <w:b w:val="0"/>
        <w:i w:val="0"/>
        <w:sz w:val="28"/>
      </w:rPr>
    </w:lvl>
    <w:lvl w:ilvl="6" w:tentative="0">
      <w:start w:val="1"/>
      <w:numFmt w:val="decimal"/>
      <w:pStyle w:val="14"/>
      <w:suff w:val="space"/>
      <w:lvlText w:val="%1.%2.%3.%4.%5.%6.%7"/>
      <w:lvlJc w:val="left"/>
      <w:pPr>
        <w:ind w:left="1296" w:hanging="1296"/>
      </w:pPr>
      <w:rPr>
        <w:rFonts w:hint="default" w:ascii="Times New Roman" w:hAnsi="Times New Roman" w:eastAsia="黑体"/>
        <w:b w:val="0"/>
        <w:i w:val="0"/>
        <w:sz w:val="28"/>
      </w:rPr>
    </w:lvl>
    <w:lvl w:ilvl="7" w:tentative="0">
      <w:start w:val="1"/>
      <w:numFmt w:val="decimal"/>
      <w:pStyle w:val="15"/>
      <w:suff w:val="space"/>
      <w:lvlText w:val="%1.%2.%3.%4.%5.%6.%7.%8"/>
      <w:lvlJc w:val="left"/>
      <w:pPr>
        <w:ind w:left="1440" w:hanging="1440"/>
      </w:pPr>
      <w:rPr>
        <w:rFonts w:hint="default" w:ascii="Times New Roman" w:hAnsi="Times New Roman" w:eastAsia="黑体"/>
        <w:b w:val="0"/>
        <w:i w:val="0"/>
        <w:sz w:val="28"/>
      </w:rPr>
    </w:lvl>
    <w:lvl w:ilvl="8" w:tentative="0">
      <w:start w:val="1"/>
      <w:numFmt w:val="decimal"/>
      <w:pStyle w:val="16"/>
      <w:suff w:val="space"/>
      <w:lvlText w:val="%1.%2.%3.%4.%5.%6.%7.%8.%9"/>
      <w:lvlJc w:val="left"/>
      <w:pPr>
        <w:ind w:left="1584" w:hanging="1584"/>
      </w:pPr>
      <w:rPr>
        <w:rFonts w:hint="default" w:ascii="Times New Roman" w:hAnsi="Times New Roman" w:eastAsia="黑体"/>
        <w:b w:val="0"/>
        <w:i w:val="0"/>
        <w:sz w:val="28"/>
      </w:rPr>
    </w:lvl>
  </w:abstractNum>
  <w:abstractNum w:abstractNumId="8">
    <w:nsid w:val="337300D7"/>
    <w:multiLevelType w:val="singleLevel"/>
    <w:tmpl w:val="337300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3885AA3A"/>
    <w:multiLevelType w:val="singleLevel"/>
    <w:tmpl w:val="3885AA3A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404D8360"/>
    <w:multiLevelType w:val="singleLevel"/>
    <w:tmpl w:val="404D83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45AA5DAC"/>
    <w:multiLevelType w:val="multilevel"/>
    <w:tmpl w:val="45AA5DAC"/>
    <w:lvl w:ilvl="0" w:tentative="0">
      <w:start w:val="1"/>
      <w:numFmt w:val="bullet"/>
      <w:pStyle w:val="71"/>
      <w:lvlText w:val=""/>
      <w:lvlJc w:val="left"/>
      <w:pPr>
        <w:tabs>
          <w:tab w:val="left" w:pos="1021"/>
        </w:tabs>
        <w:ind w:left="1021" w:hanging="325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792" w:hanging="440"/>
      </w:pPr>
    </w:lvl>
    <w:lvl w:ilvl="2" w:tentative="0">
      <w:start w:val="1"/>
      <w:numFmt w:val="lowerRoman"/>
      <w:lvlText w:val="%3."/>
      <w:lvlJc w:val="right"/>
      <w:pPr>
        <w:ind w:left="2232" w:hanging="440"/>
      </w:pPr>
    </w:lvl>
    <w:lvl w:ilvl="3" w:tentative="0">
      <w:start w:val="1"/>
      <w:numFmt w:val="decimal"/>
      <w:lvlText w:val="%4."/>
      <w:lvlJc w:val="left"/>
      <w:pPr>
        <w:ind w:left="2672" w:hanging="440"/>
      </w:pPr>
    </w:lvl>
    <w:lvl w:ilvl="4" w:tentative="0">
      <w:start w:val="1"/>
      <w:numFmt w:val="lowerLetter"/>
      <w:lvlText w:val="%5)"/>
      <w:lvlJc w:val="left"/>
      <w:pPr>
        <w:ind w:left="3112" w:hanging="440"/>
      </w:pPr>
    </w:lvl>
    <w:lvl w:ilvl="5" w:tentative="0">
      <w:start w:val="1"/>
      <w:numFmt w:val="lowerRoman"/>
      <w:lvlText w:val="%6."/>
      <w:lvlJc w:val="right"/>
      <w:pPr>
        <w:ind w:left="3552" w:hanging="440"/>
      </w:pPr>
    </w:lvl>
    <w:lvl w:ilvl="6" w:tentative="0">
      <w:start w:val="1"/>
      <w:numFmt w:val="decimal"/>
      <w:lvlText w:val="%7."/>
      <w:lvlJc w:val="left"/>
      <w:pPr>
        <w:ind w:left="3992" w:hanging="440"/>
      </w:pPr>
    </w:lvl>
    <w:lvl w:ilvl="7" w:tentative="0">
      <w:start w:val="1"/>
      <w:numFmt w:val="lowerLetter"/>
      <w:lvlText w:val="%8)"/>
      <w:lvlJc w:val="left"/>
      <w:pPr>
        <w:ind w:left="4432" w:hanging="440"/>
      </w:pPr>
    </w:lvl>
    <w:lvl w:ilvl="8" w:tentative="0">
      <w:start w:val="1"/>
      <w:numFmt w:val="lowerRoman"/>
      <w:lvlText w:val="%9."/>
      <w:lvlJc w:val="right"/>
      <w:pPr>
        <w:ind w:left="4872" w:hanging="440"/>
      </w:pPr>
    </w:lvl>
  </w:abstractNum>
  <w:abstractNum w:abstractNumId="12">
    <w:nsid w:val="4771E935"/>
    <w:multiLevelType w:val="singleLevel"/>
    <w:tmpl w:val="4771E935"/>
    <w:lvl w:ilvl="0" w:tentative="0">
      <w:start w:val="1"/>
      <w:numFmt w:val="decimal"/>
      <w:suff w:val="nothing"/>
      <w:lvlText w:val="%1）"/>
      <w:lvlJc w:val="left"/>
    </w:lvl>
  </w:abstractNum>
  <w:abstractNum w:abstractNumId="13">
    <w:nsid w:val="4FCDE119"/>
    <w:multiLevelType w:val="singleLevel"/>
    <w:tmpl w:val="4FCDE119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4">
    <w:nsid w:val="51F70E53"/>
    <w:multiLevelType w:val="singleLevel"/>
    <w:tmpl w:val="51F70E53"/>
    <w:lvl w:ilvl="0" w:tentative="0">
      <w:start w:val="1"/>
      <w:numFmt w:val="decimal"/>
      <w:suff w:val="nothing"/>
      <w:lvlText w:val="%1）"/>
      <w:lvlJc w:val="left"/>
    </w:lvl>
  </w:abstractNum>
  <w:abstractNum w:abstractNumId="15">
    <w:nsid w:val="56A120FE"/>
    <w:multiLevelType w:val="multilevel"/>
    <w:tmpl w:val="56A120FE"/>
    <w:lvl w:ilvl="0" w:tentative="0">
      <w:start w:val="1"/>
      <w:numFmt w:val="decimal"/>
      <w:pStyle w:val="80"/>
      <w:suff w:val="nothing"/>
      <w:lvlText w:val="%1"/>
      <w:lvlJc w:val="center"/>
      <w:pPr>
        <w:ind w:left="0" w:firstLine="0"/>
      </w:pPr>
      <w:rPr>
        <w:rFonts w:hint="eastAsia" w:ascii="宋体" w:hAnsi="仿宋" w:eastAsia="宋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8"/>
        <w:szCs w:val="21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6">
    <w:nsid w:val="5729028E"/>
    <w:multiLevelType w:val="multilevel"/>
    <w:tmpl w:val="5729028E"/>
    <w:lvl w:ilvl="0" w:tentative="0">
      <w:start w:val="1"/>
      <w:numFmt w:val="decimal"/>
      <w:suff w:val="nothing"/>
      <w:lvlText w:val="[%1]"/>
      <w:lvlJc w:val="left"/>
      <w:pPr>
        <w:ind w:left="420" w:hanging="420"/>
      </w:pPr>
    </w:lvl>
    <w:lvl w:ilvl="1" w:tentative="0">
      <w:start w:val="0"/>
      <w:numFmt w:val="bullet"/>
      <w:lvlText w:val="-"/>
      <w:lvlJc w:val="left"/>
      <w:pPr>
        <w:ind w:left="780" w:hanging="360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A0E3D16"/>
    <w:multiLevelType w:val="singleLevel"/>
    <w:tmpl w:val="5A0E3D16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5"/>
  </w:num>
  <w:num w:numId="5">
    <w:abstractNumId w:val="15"/>
  </w:num>
  <w:num w:numId="6">
    <w:abstractNumId w:val="2"/>
  </w:num>
  <w:num w:numId="7">
    <w:abstractNumId w:val="10"/>
  </w:num>
  <w:num w:numId="8">
    <w:abstractNumId w:val="8"/>
  </w:num>
  <w:num w:numId="9">
    <w:abstractNumId w:val="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4"/>
  </w:num>
  <w:num w:numId="14">
    <w:abstractNumId w:val="1"/>
  </w:num>
  <w:num w:numId="15">
    <w:abstractNumId w:val="12"/>
  </w:num>
  <w:num w:numId="16">
    <w:abstractNumId w:val="9"/>
  </w:num>
  <w:num w:numId="17">
    <w:abstractNumId w:val="17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oNotDisplayPageBoundaries w:val="1"/>
  <w:bordersDoNotSurroundHeader w:val="1"/>
  <w:bordersDoNotSurroundFooter w:val="1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ocumentProtection w:edit="readOnly" w:formatting="1" w:enforcement="0"/>
  <w:autoFormatOverride/>
  <w:styleLockTheme/>
  <w:styleLockQFSet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zZDUyMzNhZTJjYjUyYmY4MTAwYjIyYTk3M2FiODIifQ=="/>
  </w:docVars>
  <w:rsids>
    <w:rsidRoot w:val="00E32585"/>
    <w:rsid w:val="00013854"/>
    <w:rsid w:val="00020BA3"/>
    <w:rsid w:val="000213DB"/>
    <w:rsid w:val="00023645"/>
    <w:rsid w:val="0002493E"/>
    <w:rsid w:val="00035B95"/>
    <w:rsid w:val="000371B2"/>
    <w:rsid w:val="0004158C"/>
    <w:rsid w:val="00043012"/>
    <w:rsid w:val="0004760C"/>
    <w:rsid w:val="00054AF6"/>
    <w:rsid w:val="0007046E"/>
    <w:rsid w:val="000738D5"/>
    <w:rsid w:val="00076832"/>
    <w:rsid w:val="00085CFA"/>
    <w:rsid w:val="00091638"/>
    <w:rsid w:val="000A0452"/>
    <w:rsid w:val="000A17CC"/>
    <w:rsid w:val="000A36BF"/>
    <w:rsid w:val="000A4565"/>
    <w:rsid w:val="000A71DB"/>
    <w:rsid w:val="000B34CB"/>
    <w:rsid w:val="000B3CCF"/>
    <w:rsid w:val="000B57AB"/>
    <w:rsid w:val="000C1917"/>
    <w:rsid w:val="000C6020"/>
    <w:rsid w:val="000C6DC3"/>
    <w:rsid w:val="000D0A76"/>
    <w:rsid w:val="000D55FD"/>
    <w:rsid w:val="000E2836"/>
    <w:rsid w:val="000E452F"/>
    <w:rsid w:val="000F142F"/>
    <w:rsid w:val="000F5669"/>
    <w:rsid w:val="00101121"/>
    <w:rsid w:val="0010701A"/>
    <w:rsid w:val="00111331"/>
    <w:rsid w:val="001119F7"/>
    <w:rsid w:val="00115BA0"/>
    <w:rsid w:val="001203EB"/>
    <w:rsid w:val="001303EC"/>
    <w:rsid w:val="00130B62"/>
    <w:rsid w:val="00132238"/>
    <w:rsid w:val="00136D40"/>
    <w:rsid w:val="00137EE2"/>
    <w:rsid w:val="00137F18"/>
    <w:rsid w:val="00151995"/>
    <w:rsid w:val="00152D15"/>
    <w:rsid w:val="00153117"/>
    <w:rsid w:val="0016102B"/>
    <w:rsid w:val="00162BA6"/>
    <w:rsid w:val="00174DE5"/>
    <w:rsid w:val="00177B0F"/>
    <w:rsid w:val="00177C49"/>
    <w:rsid w:val="001821D5"/>
    <w:rsid w:val="0019734C"/>
    <w:rsid w:val="001A0BF2"/>
    <w:rsid w:val="001A1698"/>
    <w:rsid w:val="001A5EAB"/>
    <w:rsid w:val="001A7CF0"/>
    <w:rsid w:val="001B209B"/>
    <w:rsid w:val="001B3AF2"/>
    <w:rsid w:val="001B788B"/>
    <w:rsid w:val="001C048A"/>
    <w:rsid w:val="001C06D6"/>
    <w:rsid w:val="001C18DE"/>
    <w:rsid w:val="001C1D2C"/>
    <w:rsid w:val="001D24C0"/>
    <w:rsid w:val="001D3785"/>
    <w:rsid w:val="001D4332"/>
    <w:rsid w:val="001E2389"/>
    <w:rsid w:val="001E3334"/>
    <w:rsid w:val="001E5C78"/>
    <w:rsid w:val="001E7CD6"/>
    <w:rsid w:val="00200338"/>
    <w:rsid w:val="0020308D"/>
    <w:rsid w:val="00212800"/>
    <w:rsid w:val="00237498"/>
    <w:rsid w:val="00247343"/>
    <w:rsid w:val="002539F4"/>
    <w:rsid w:val="00261E74"/>
    <w:rsid w:val="002700C9"/>
    <w:rsid w:val="00270FAC"/>
    <w:rsid w:val="002738EE"/>
    <w:rsid w:val="00273B79"/>
    <w:rsid w:val="00276E47"/>
    <w:rsid w:val="002818CC"/>
    <w:rsid w:val="00291FF1"/>
    <w:rsid w:val="00292BAB"/>
    <w:rsid w:val="002A190B"/>
    <w:rsid w:val="002A2ABA"/>
    <w:rsid w:val="002A33AC"/>
    <w:rsid w:val="002B0841"/>
    <w:rsid w:val="002B29EA"/>
    <w:rsid w:val="002B32ED"/>
    <w:rsid w:val="002D0E31"/>
    <w:rsid w:val="002D680C"/>
    <w:rsid w:val="002D7678"/>
    <w:rsid w:val="002D796F"/>
    <w:rsid w:val="002D7C88"/>
    <w:rsid w:val="002E56FA"/>
    <w:rsid w:val="002E70EC"/>
    <w:rsid w:val="002F0ED8"/>
    <w:rsid w:val="002F29F0"/>
    <w:rsid w:val="002F55A7"/>
    <w:rsid w:val="00302872"/>
    <w:rsid w:val="00303FB1"/>
    <w:rsid w:val="003050AA"/>
    <w:rsid w:val="00306F3A"/>
    <w:rsid w:val="00307898"/>
    <w:rsid w:val="00310518"/>
    <w:rsid w:val="003163A9"/>
    <w:rsid w:val="00322987"/>
    <w:rsid w:val="00323539"/>
    <w:rsid w:val="00323D45"/>
    <w:rsid w:val="00326403"/>
    <w:rsid w:val="00331009"/>
    <w:rsid w:val="00332057"/>
    <w:rsid w:val="003378D3"/>
    <w:rsid w:val="003417B8"/>
    <w:rsid w:val="0034256C"/>
    <w:rsid w:val="0034458C"/>
    <w:rsid w:val="00345EE5"/>
    <w:rsid w:val="00352CEA"/>
    <w:rsid w:val="00362466"/>
    <w:rsid w:val="003631D6"/>
    <w:rsid w:val="00371002"/>
    <w:rsid w:val="00371856"/>
    <w:rsid w:val="0037209D"/>
    <w:rsid w:val="003770C2"/>
    <w:rsid w:val="003816E4"/>
    <w:rsid w:val="00390736"/>
    <w:rsid w:val="00396C3E"/>
    <w:rsid w:val="003A29EA"/>
    <w:rsid w:val="003B4DF4"/>
    <w:rsid w:val="003B51C7"/>
    <w:rsid w:val="003B645C"/>
    <w:rsid w:val="003B75D9"/>
    <w:rsid w:val="003C2026"/>
    <w:rsid w:val="003D1AC8"/>
    <w:rsid w:val="003D1BCE"/>
    <w:rsid w:val="003F044D"/>
    <w:rsid w:val="003F3D00"/>
    <w:rsid w:val="003F42A6"/>
    <w:rsid w:val="00402302"/>
    <w:rsid w:val="00412975"/>
    <w:rsid w:val="00417796"/>
    <w:rsid w:val="004200C4"/>
    <w:rsid w:val="004220EC"/>
    <w:rsid w:val="00424A93"/>
    <w:rsid w:val="00426218"/>
    <w:rsid w:val="0043796A"/>
    <w:rsid w:val="00442D53"/>
    <w:rsid w:val="00446BFF"/>
    <w:rsid w:val="00451251"/>
    <w:rsid w:val="00453C05"/>
    <w:rsid w:val="0046350D"/>
    <w:rsid w:val="00466FB7"/>
    <w:rsid w:val="0048066F"/>
    <w:rsid w:val="00485D55"/>
    <w:rsid w:val="004952A3"/>
    <w:rsid w:val="004952C6"/>
    <w:rsid w:val="004972E9"/>
    <w:rsid w:val="004A25AE"/>
    <w:rsid w:val="004A690C"/>
    <w:rsid w:val="004A6EDF"/>
    <w:rsid w:val="004B15D6"/>
    <w:rsid w:val="004C4FB8"/>
    <w:rsid w:val="004C6AF1"/>
    <w:rsid w:val="004D151C"/>
    <w:rsid w:val="004D1F4A"/>
    <w:rsid w:val="004D2ADA"/>
    <w:rsid w:val="004D6E38"/>
    <w:rsid w:val="004E099D"/>
    <w:rsid w:val="004E2F47"/>
    <w:rsid w:val="004F4029"/>
    <w:rsid w:val="004F7651"/>
    <w:rsid w:val="00500001"/>
    <w:rsid w:val="00501B6B"/>
    <w:rsid w:val="00511114"/>
    <w:rsid w:val="005114F6"/>
    <w:rsid w:val="00512084"/>
    <w:rsid w:val="00515628"/>
    <w:rsid w:val="00515C5E"/>
    <w:rsid w:val="005172C6"/>
    <w:rsid w:val="00520D1E"/>
    <w:rsid w:val="00522805"/>
    <w:rsid w:val="00522D5B"/>
    <w:rsid w:val="0052532A"/>
    <w:rsid w:val="005343CD"/>
    <w:rsid w:val="005407F7"/>
    <w:rsid w:val="00542FF2"/>
    <w:rsid w:val="0056351F"/>
    <w:rsid w:val="00565A65"/>
    <w:rsid w:val="00572AD8"/>
    <w:rsid w:val="0057612B"/>
    <w:rsid w:val="00577F60"/>
    <w:rsid w:val="005935B2"/>
    <w:rsid w:val="0059389A"/>
    <w:rsid w:val="00594C71"/>
    <w:rsid w:val="00594D10"/>
    <w:rsid w:val="005A0B82"/>
    <w:rsid w:val="005B06AC"/>
    <w:rsid w:val="005B2530"/>
    <w:rsid w:val="005B4F39"/>
    <w:rsid w:val="005B63B3"/>
    <w:rsid w:val="005C02FC"/>
    <w:rsid w:val="005C2A52"/>
    <w:rsid w:val="005C44BA"/>
    <w:rsid w:val="005C631E"/>
    <w:rsid w:val="005D3E74"/>
    <w:rsid w:val="005D4715"/>
    <w:rsid w:val="005E1040"/>
    <w:rsid w:val="005E1C1E"/>
    <w:rsid w:val="005E2160"/>
    <w:rsid w:val="005E430A"/>
    <w:rsid w:val="005F26D5"/>
    <w:rsid w:val="005F3D62"/>
    <w:rsid w:val="005F4F1C"/>
    <w:rsid w:val="005F7FDD"/>
    <w:rsid w:val="00603DB3"/>
    <w:rsid w:val="00607E5D"/>
    <w:rsid w:val="0061100E"/>
    <w:rsid w:val="00613DBF"/>
    <w:rsid w:val="00616226"/>
    <w:rsid w:val="0061745E"/>
    <w:rsid w:val="006210DB"/>
    <w:rsid w:val="0062158B"/>
    <w:rsid w:val="0062191D"/>
    <w:rsid w:val="00625D17"/>
    <w:rsid w:val="00631E61"/>
    <w:rsid w:val="006371CA"/>
    <w:rsid w:val="00642AD6"/>
    <w:rsid w:val="00645E64"/>
    <w:rsid w:val="00652797"/>
    <w:rsid w:val="00654162"/>
    <w:rsid w:val="00656914"/>
    <w:rsid w:val="00663497"/>
    <w:rsid w:val="00666B15"/>
    <w:rsid w:val="006703D5"/>
    <w:rsid w:val="00684BFF"/>
    <w:rsid w:val="0068582E"/>
    <w:rsid w:val="00686019"/>
    <w:rsid w:val="006871A5"/>
    <w:rsid w:val="00690F22"/>
    <w:rsid w:val="006927C0"/>
    <w:rsid w:val="00694BBA"/>
    <w:rsid w:val="00696C99"/>
    <w:rsid w:val="00696E5E"/>
    <w:rsid w:val="006A13B2"/>
    <w:rsid w:val="006A25ED"/>
    <w:rsid w:val="006A63BC"/>
    <w:rsid w:val="006A6AC3"/>
    <w:rsid w:val="006B3E24"/>
    <w:rsid w:val="006B47EB"/>
    <w:rsid w:val="006B7F4D"/>
    <w:rsid w:val="006C1D9B"/>
    <w:rsid w:val="006C6B0B"/>
    <w:rsid w:val="006C6FA9"/>
    <w:rsid w:val="006C6FAB"/>
    <w:rsid w:val="006D0853"/>
    <w:rsid w:val="006D43D1"/>
    <w:rsid w:val="006D456D"/>
    <w:rsid w:val="006D4E3F"/>
    <w:rsid w:val="006D66D7"/>
    <w:rsid w:val="006E1715"/>
    <w:rsid w:val="006F47B3"/>
    <w:rsid w:val="006F680F"/>
    <w:rsid w:val="006F73A1"/>
    <w:rsid w:val="006F7D3E"/>
    <w:rsid w:val="007035EE"/>
    <w:rsid w:val="007071EE"/>
    <w:rsid w:val="00725262"/>
    <w:rsid w:val="00732A40"/>
    <w:rsid w:val="00734E9C"/>
    <w:rsid w:val="007618AF"/>
    <w:rsid w:val="00762360"/>
    <w:rsid w:val="00764416"/>
    <w:rsid w:val="00764ACE"/>
    <w:rsid w:val="0077644C"/>
    <w:rsid w:val="00781AB8"/>
    <w:rsid w:val="00781DD9"/>
    <w:rsid w:val="007859DF"/>
    <w:rsid w:val="00795159"/>
    <w:rsid w:val="007969B0"/>
    <w:rsid w:val="007A532F"/>
    <w:rsid w:val="007A598A"/>
    <w:rsid w:val="007A6440"/>
    <w:rsid w:val="007B0C34"/>
    <w:rsid w:val="007B2D78"/>
    <w:rsid w:val="007C39DC"/>
    <w:rsid w:val="007D78F5"/>
    <w:rsid w:val="007D7D4E"/>
    <w:rsid w:val="007E3581"/>
    <w:rsid w:val="007F0C52"/>
    <w:rsid w:val="00801A62"/>
    <w:rsid w:val="0080371A"/>
    <w:rsid w:val="00803F1C"/>
    <w:rsid w:val="00811F42"/>
    <w:rsid w:val="00812133"/>
    <w:rsid w:val="00814E20"/>
    <w:rsid w:val="00816419"/>
    <w:rsid w:val="0082292C"/>
    <w:rsid w:val="00826F0F"/>
    <w:rsid w:val="00830DFE"/>
    <w:rsid w:val="00834497"/>
    <w:rsid w:val="00841128"/>
    <w:rsid w:val="00843EDB"/>
    <w:rsid w:val="00845726"/>
    <w:rsid w:val="00847FA4"/>
    <w:rsid w:val="00850A60"/>
    <w:rsid w:val="00855236"/>
    <w:rsid w:val="00857D7A"/>
    <w:rsid w:val="00872D7C"/>
    <w:rsid w:val="00874132"/>
    <w:rsid w:val="008745E7"/>
    <w:rsid w:val="00880BCA"/>
    <w:rsid w:val="0088105E"/>
    <w:rsid w:val="00884207"/>
    <w:rsid w:val="0088643B"/>
    <w:rsid w:val="00887C79"/>
    <w:rsid w:val="0089325F"/>
    <w:rsid w:val="00896D06"/>
    <w:rsid w:val="008A2425"/>
    <w:rsid w:val="008A3849"/>
    <w:rsid w:val="008A59D1"/>
    <w:rsid w:val="008A6493"/>
    <w:rsid w:val="008B0911"/>
    <w:rsid w:val="008B5E8D"/>
    <w:rsid w:val="008C3FD8"/>
    <w:rsid w:val="008C515B"/>
    <w:rsid w:val="008D220F"/>
    <w:rsid w:val="008D29F3"/>
    <w:rsid w:val="008D3756"/>
    <w:rsid w:val="008D5B83"/>
    <w:rsid w:val="008D7AE0"/>
    <w:rsid w:val="008E130A"/>
    <w:rsid w:val="008E7524"/>
    <w:rsid w:val="008F20A8"/>
    <w:rsid w:val="008F5F07"/>
    <w:rsid w:val="009005A8"/>
    <w:rsid w:val="00912482"/>
    <w:rsid w:val="00913852"/>
    <w:rsid w:val="00927E80"/>
    <w:rsid w:val="0093546C"/>
    <w:rsid w:val="00941C2B"/>
    <w:rsid w:val="0094338E"/>
    <w:rsid w:val="0096111F"/>
    <w:rsid w:val="00963F63"/>
    <w:rsid w:val="00965C1D"/>
    <w:rsid w:val="00970F8B"/>
    <w:rsid w:val="009723D6"/>
    <w:rsid w:val="009745B6"/>
    <w:rsid w:val="00977ECE"/>
    <w:rsid w:val="0098006A"/>
    <w:rsid w:val="009816EB"/>
    <w:rsid w:val="0098467F"/>
    <w:rsid w:val="009905A4"/>
    <w:rsid w:val="00990CDC"/>
    <w:rsid w:val="00990D47"/>
    <w:rsid w:val="0099207E"/>
    <w:rsid w:val="009A1DA3"/>
    <w:rsid w:val="009A20A0"/>
    <w:rsid w:val="009A3A5E"/>
    <w:rsid w:val="009A5D7D"/>
    <w:rsid w:val="009B385F"/>
    <w:rsid w:val="009C4503"/>
    <w:rsid w:val="009D67C7"/>
    <w:rsid w:val="009D7D90"/>
    <w:rsid w:val="009F2409"/>
    <w:rsid w:val="00A00237"/>
    <w:rsid w:val="00A00604"/>
    <w:rsid w:val="00A006EC"/>
    <w:rsid w:val="00A024CB"/>
    <w:rsid w:val="00A15A89"/>
    <w:rsid w:val="00A17432"/>
    <w:rsid w:val="00A22B74"/>
    <w:rsid w:val="00A237F6"/>
    <w:rsid w:val="00A25ED4"/>
    <w:rsid w:val="00A2770E"/>
    <w:rsid w:val="00A30745"/>
    <w:rsid w:val="00A4097A"/>
    <w:rsid w:val="00A53571"/>
    <w:rsid w:val="00A55762"/>
    <w:rsid w:val="00A568C3"/>
    <w:rsid w:val="00A56EA0"/>
    <w:rsid w:val="00A62706"/>
    <w:rsid w:val="00A642EB"/>
    <w:rsid w:val="00A65871"/>
    <w:rsid w:val="00A714CD"/>
    <w:rsid w:val="00A71874"/>
    <w:rsid w:val="00A73DFD"/>
    <w:rsid w:val="00A81F55"/>
    <w:rsid w:val="00A86584"/>
    <w:rsid w:val="00A912B6"/>
    <w:rsid w:val="00A92B57"/>
    <w:rsid w:val="00A943C0"/>
    <w:rsid w:val="00A94D24"/>
    <w:rsid w:val="00A95345"/>
    <w:rsid w:val="00AA2346"/>
    <w:rsid w:val="00AA4807"/>
    <w:rsid w:val="00AA6DCC"/>
    <w:rsid w:val="00AA7E8C"/>
    <w:rsid w:val="00AC0BAA"/>
    <w:rsid w:val="00AC2C4F"/>
    <w:rsid w:val="00AC5581"/>
    <w:rsid w:val="00AC7DA6"/>
    <w:rsid w:val="00AD0DB1"/>
    <w:rsid w:val="00AE2946"/>
    <w:rsid w:val="00AE35CD"/>
    <w:rsid w:val="00AF099E"/>
    <w:rsid w:val="00AF244A"/>
    <w:rsid w:val="00B03290"/>
    <w:rsid w:val="00B07AF3"/>
    <w:rsid w:val="00B103BF"/>
    <w:rsid w:val="00B108A7"/>
    <w:rsid w:val="00B13E7E"/>
    <w:rsid w:val="00B1586B"/>
    <w:rsid w:val="00B30C30"/>
    <w:rsid w:val="00B344EB"/>
    <w:rsid w:val="00B40354"/>
    <w:rsid w:val="00B47EC0"/>
    <w:rsid w:val="00B504C9"/>
    <w:rsid w:val="00B5079D"/>
    <w:rsid w:val="00B51C42"/>
    <w:rsid w:val="00B5457F"/>
    <w:rsid w:val="00B606C6"/>
    <w:rsid w:val="00B767BA"/>
    <w:rsid w:val="00B80CE2"/>
    <w:rsid w:val="00B8379A"/>
    <w:rsid w:val="00B84063"/>
    <w:rsid w:val="00B8695C"/>
    <w:rsid w:val="00B94592"/>
    <w:rsid w:val="00B954D9"/>
    <w:rsid w:val="00B9646C"/>
    <w:rsid w:val="00BB3494"/>
    <w:rsid w:val="00BB3564"/>
    <w:rsid w:val="00BB7BCE"/>
    <w:rsid w:val="00BC22B1"/>
    <w:rsid w:val="00BC4353"/>
    <w:rsid w:val="00BC7B15"/>
    <w:rsid w:val="00BD34E5"/>
    <w:rsid w:val="00BD71FA"/>
    <w:rsid w:val="00BD7BCD"/>
    <w:rsid w:val="00BE3BA5"/>
    <w:rsid w:val="00BF2F5C"/>
    <w:rsid w:val="00BF575A"/>
    <w:rsid w:val="00BF7855"/>
    <w:rsid w:val="00C01DEB"/>
    <w:rsid w:val="00C02BD6"/>
    <w:rsid w:val="00C034EC"/>
    <w:rsid w:val="00C0787C"/>
    <w:rsid w:val="00C21269"/>
    <w:rsid w:val="00C2171E"/>
    <w:rsid w:val="00C243CB"/>
    <w:rsid w:val="00C37440"/>
    <w:rsid w:val="00C37D6E"/>
    <w:rsid w:val="00C401CD"/>
    <w:rsid w:val="00C43E35"/>
    <w:rsid w:val="00C516EA"/>
    <w:rsid w:val="00C5659F"/>
    <w:rsid w:val="00C60C25"/>
    <w:rsid w:val="00C70968"/>
    <w:rsid w:val="00C71267"/>
    <w:rsid w:val="00C73DAA"/>
    <w:rsid w:val="00C77623"/>
    <w:rsid w:val="00C80D7D"/>
    <w:rsid w:val="00C84CA2"/>
    <w:rsid w:val="00C952FE"/>
    <w:rsid w:val="00CA1B3A"/>
    <w:rsid w:val="00CA1FE0"/>
    <w:rsid w:val="00CA34CB"/>
    <w:rsid w:val="00CA55AE"/>
    <w:rsid w:val="00CB0FCA"/>
    <w:rsid w:val="00CB6F67"/>
    <w:rsid w:val="00CC546E"/>
    <w:rsid w:val="00CD2D32"/>
    <w:rsid w:val="00CE32BF"/>
    <w:rsid w:val="00CE4D83"/>
    <w:rsid w:val="00CF21B6"/>
    <w:rsid w:val="00CF5AAB"/>
    <w:rsid w:val="00D059FC"/>
    <w:rsid w:val="00D1463D"/>
    <w:rsid w:val="00D14D3C"/>
    <w:rsid w:val="00D23400"/>
    <w:rsid w:val="00D2385B"/>
    <w:rsid w:val="00D247F3"/>
    <w:rsid w:val="00D2604C"/>
    <w:rsid w:val="00D26D08"/>
    <w:rsid w:val="00D3679B"/>
    <w:rsid w:val="00D40D5B"/>
    <w:rsid w:val="00D467C6"/>
    <w:rsid w:val="00D55A61"/>
    <w:rsid w:val="00D56BAB"/>
    <w:rsid w:val="00D6032A"/>
    <w:rsid w:val="00D60876"/>
    <w:rsid w:val="00D6525A"/>
    <w:rsid w:val="00D808B2"/>
    <w:rsid w:val="00D86C9C"/>
    <w:rsid w:val="00D92B85"/>
    <w:rsid w:val="00DA020D"/>
    <w:rsid w:val="00DC7B2F"/>
    <w:rsid w:val="00DD0F5A"/>
    <w:rsid w:val="00DD4462"/>
    <w:rsid w:val="00DE7CFC"/>
    <w:rsid w:val="00DF4BDA"/>
    <w:rsid w:val="00DF7841"/>
    <w:rsid w:val="00E041CA"/>
    <w:rsid w:val="00E0750A"/>
    <w:rsid w:val="00E2489B"/>
    <w:rsid w:val="00E32585"/>
    <w:rsid w:val="00E36E02"/>
    <w:rsid w:val="00E36E36"/>
    <w:rsid w:val="00E40531"/>
    <w:rsid w:val="00E431AB"/>
    <w:rsid w:val="00E44610"/>
    <w:rsid w:val="00E5603C"/>
    <w:rsid w:val="00E604B4"/>
    <w:rsid w:val="00E62A75"/>
    <w:rsid w:val="00E6661F"/>
    <w:rsid w:val="00E7115C"/>
    <w:rsid w:val="00E721D2"/>
    <w:rsid w:val="00E732C9"/>
    <w:rsid w:val="00E77DA1"/>
    <w:rsid w:val="00E82685"/>
    <w:rsid w:val="00E83A34"/>
    <w:rsid w:val="00E91883"/>
    <w:rsid w:val="00E958DA"/>
    <w:rsid w:val="00EA788C"/>
    <w:rsid w:val="00EC0174"/>
    <w:rsid w:val="00EC2A90"/>
    <w:rsid w:val="00EC3286"/>
    <w:rsid w:val="00EC400B"/>
    <w:rsid w:val="00EC5AAF"/>
    <w:rsid w:val="00ED00E1"/>
    <w:rsid w:val="00ED4601"/>
    <w:rsid w:val="00ED49A0"/>
    <w:rsid w:val="00ED6EEA"/>
    <w:rsid w:val="00ED777D"/>
    <w:rsid w:val="00EF2DBD"/>
    <w:rsid w:val="00F006AB"/>
    <w:rsid w:val="00F02CEF"/>
    <w:rsid w:val="00F15291"/>
    <w:rsid w:val="00F16FED"/>
    <w:rsid w:val="00F20E21"/>
    <w:rsid w:val="00F23875"/>
    <w:rsid w:val="00F40285"/>
    <w:rsid w:val="00F42736"/>
    <w:rsid w:val="00F45219"/>
    <w:rsid w:val="00F47D12"/>
    <w:rsid w:val="00F50C50"/>
    <w:rsid w:val="00F53F19"/>
    <w:rsid w:val="00F56A3D"/>
    <w:rsid w:val="00F602ED"/>
    <w:rsid w:val="00F66323"/>
    <w:rsid w:val="00F7359A"/>
    <w:rsid w:val="00F74099"/>
    <w:rsid w:val="00F81800"/>
    <w:rsid w:val="00F8326E"/>
    <w:rsid w:val="00F832AB"/>
    <w:rsid w:val="00F86DF6"/>
    <w:rsid w:val="00F913C8"/>
    <w:rsid w:val="00F933A4"/>
    <w:rsid w:val="00FA07D4"/>
    <w:rsid w:val="00FA7029"/>
    <w:rsid w:val="00FB6420"/>
    <w:rsid w:val="00FB744F"/>
    <w:rsid w:val="00FC01FA"/>
    <w:rsid w:val="00FC116E"/>
    <w:rsid w:val="00FD7619"/>
    <w:rsid w:val="00FD7D14"/>
    <w:rsid w:val="00FE3148"/>
    <w:rsid w:val="00FE4142"/>
    <w:rsid w:val="00FE75C6"/>
    <w:rsid w:val="00FF5971"/>
    <w:rsid w:val="00FF6558"/>
    <w:rsid w:val="018F6A3E"/>
    <w:rsid w:val="01D33BE7"/>
    <w:rsid w:val="01D408F4"/>
    <w:rsid w:val="01F1594A"/>
    <w:rsid w:val="020647F5"/>
    <w:rsid w:val="02070B64"/>
    <w:rsid w:val="021F73F0"/>
    <w:rsid w:val="022278B2"/>
    <w:rsid w:val="02C95F7F"/>
    <w:rsid w:val="02F54FC6"/>
    <w:rsid w:val="02FE2D03"/>
    <w:rsid w:val="03135CBD"/>
    <w:rsid w:val="0335480E"/>
    <w:rsid w:val="03630182"/>
    <w:rsid w:val="03990047"/>
    <w:rsid w:val="03B64756"/>
    <w:rsid w:val="03C230FA"/>
    <w:rsid w:val="04180F6C"/>
    <w:rsid w:val="041864A4"/>
    <w:rsid w:val="0428517E"/>
    <w:rsid w:val="04675A50"/>
    <w:rsid w:val="04695C6C"/>
    <w:rsid w:val="04854393"/>
    <w:rsid w:val="04967F1E"/>
    <w:rsid w:val="049C7DEF"/>
    <w:rsid w:val="04B672FF"/>
    <w:rsid w:val="04B90479"/>
    <w:rsid w:val="04BC3FEE"/>
    <w:rsid w:val="04C9670A"/>
    <w:rsid w:val="04CB59A2"/>
    <w:rsid w:val="05491710"/>
    <w:rsid w:val="05B57C73"/>
    <w:rsid w:val="05D71422"/>
    <w:rsid w:val="062067FE"/>
    <w:rsid w:val="06223449"/>
    <w:rsid w:val="066A1827"/>
    <w:rsid w:val="06746FB5"/>
    <w:rsid w:val="068424AD"/>
    <w:rsid w:val="06C22A8A"/>
    <w:rsid w:val="06DA1F66"/>
    <w:rsid w:val="07132D1F"/>
    <w:rsid w:val="071350B9"/>
    <w:rsid w:val="07283BBC"/>
    <w:rsid w:val="075C1AB8"/>
    <w:rsid w:val="07E51AAD"/>
    <w:rsid w:val="07F060B1"/>
    <w:rsid w:val="083F2F69"/>
    <w:rsid w:val="085718C9"/>
    <w:rsid w:val="085C1889"/>
    <w:rsid w:val="085C2F50"/>
    <w:rsid w:val="092C0E21"/>
    <w:rsid w:val="09304FAA"/>
    <w:rsid w:val="093A0DE5"/>
    <w:rsid w:val="0A335165"/>
    <w:rsid w:val="0A59408D"/>
    <w:rsid w:val="0A656ED5"/>
    <w:rsid w:val="0A8244D6"/>
    <w:rsid w:val="0A8A4E3C"/>
    <w:rsid w:val="0AAC4357"/>
    <w:rsid w:val="0AE251C7"/>
    <w:rsid w:val="0AF81EC1"/>
    <w:rsid w:val="0B0E2270"/>
    <w:rsid w:val="0B344508"/>
    <w:rsid w:val="0B3767A0"/>
    <w:rsid w:val="0B9369BE"/>
    <w:rsid w:val="0B953744"/>
    <w:rsid w:val="0BCA376A"/>
    <w:rsid w:val="0BE26B5B"/>
    <w:rsid w:val="0BE67BA2"/>
    <w:rsid w:val="0C3152C1"/>
    <w:rsid w:val="0C6F4224"/>
    <w:rsid w:val="0C825B1D"/>
    <w:rsid w:val="0C966FE2"/>
    <w:rsid w:val="0CD619C5"/>
    <w:rsid w:val="0CF06F2A"/>
    <w:rsid w:val="0D2209B8"/>
    <w:rsid w:val="0D23433D"/>
    <w:rsid w:val="0D405647"/>
    <w:rsid w:val="0D562B05"/>
    <w:rsid w:val="0D645222"/>
    <w:rsid w:val="0DA67DDF"/>
    <w:rsid w:val="0DBD28B9"/>
    <w:rsid w:val="0DE01542"/>
    <w:rsid w:val="0E0C334B"/>
    <w:rsid w:val="0E1C1499"/>
    <w:rsid w:val="0E1E3623"/>
    <w:rsid w:val="0E464928"/>
    <w:rsid w:val="0E62425E"/>
    <w:rsid w:val="0E7D64DA"/>
    <w:rsid w:val="0E8536A2"/>
    <w:rsid w:val="0E8F4521"/>
    <w:rsid w:val="0EAF4BC3"/>
    <w:rsid w:val="0EB67D00"/>
    <w:rsid w:val="0EC85296"/>
    <w:rsid w:val="0F1634F0"/>
    <w:rsid w:val="0F227143"/>
    <w:rsid w:val="0F6D432E"/>
    <w:rsid w:val="0F8A3662"/>
    <w:rsid w:val="0F8B4CE8"/>
    <w:rsid w:val="0FA933C0"/>
    <w:rsid w:val="0FB104C7"/>
    <w:rsid w:val="0FE17DD5"/>
    <w:rsid w:val="0FFD203D"/>
    <w:rsid w:val="0FFF56D6"/>
    <w:rsid w:val="10193360"/>
    <w:rsid w:val="102E38C6"/>
    <w:rsid w:val="108F5D0D"/>
    <w:rsid w:val="10A312B4"/>
    <w:rsid w:val="10A32505"/>
    <w:rsid w:val="10A83678"/>
    <w:rsid w:val="10E615D9"/>
    <w:rsid w:val="11586E4C"/>
    <w:rsid w:val="11A37A34"/>
    <w:rsid w:val="11E83547"/>
    <w:rsid w:val="1218482D"/>
    <w:rsid w:val="12422527"/>
    <w:rsid w:val="124E3BBB"/>
    <w:rsid w:val="1268006A"/>
    <w:rsid w:val="126E1D10"/>
    <w:rsid w:val="12B75DF4"/>
    <w:rsid w:val="13160D6D"/>
    <w:rsid w:val="13425217"/>
    <w:rsid w:val="1358755D"/>
    <w:rsid w:val="139E1318"/>
    <w:rsid w:val="13F6294C"/>
    <w:rsid w:val="144E09DA"/>
    <w:rsid w:val="145F6743"/>
    <w:rsid w:val="146855F8"/>
    <w:rsid w:val="148E5193"/>
    <w:rsid w:val="14B45573"/>
    <w:rsid w:val="14B52807"/>
    <w:rsid w:val="14DC21FC"/>
    <w:rsid w:val="14E9620C"/>
    <w:rsid w:val="153958B4"/>
    <w:rsid w:val="154020D1"/>
    <w:rsid w:val="15593A19"/>
    <w:rsid w:val="158F3058"/>
    <w:rsid w:val="15E35939"/>
    <w:rsid w:val="15FE43D9"/>
    <w:rsid w:val="1617071B"/>
    <w:rsid w:val="16A82624"/>
    <w:rsid w:val="170A508C"/>
    <w:rsid w:val="171A4BA4"/>
    <w:rsid w:val="17614581"/>
    <w:rsid w:val="179D7CAF"/>
    <w:rsid w:val="17D321B8"/>
    <w:rsid w:val="17E21B65"/>
    <w:rsid w:val="17FD074D"/>
    <w:rsid w:val="183B3024"/>
    <w:rsid w:val="185C0858"/>
    <w:rsid w:val="188B3FAB"/>
    <w:rsid w:val="189275B4"/>
    <w:rsid w:val="190355CB"/>
    <w:rsid w:val="190F185A"/>
    <w:rsid w:val="19170C83"/>
    <w:rsid w:val="19AA220F"/>
    <w:rsid w:val="19C1074A"/>
    <w:rsid w:val="1A473F02"/>
    <w:rsid w:val="1A815558"/>
    <w:rsid w:val="1AA53BFF"/>
    <w:rsid w:val="1ACA4E25"/>
    <w:rsid w:val="1AF40433"/>
    <w:rsid w:val="1AF8344E"/>
    <w:rsid w:val="1B027E29"/>
    <w:rsid w:val="1B410B2E"/>
    <w:rsid w:val="1B4B17D0"/>
    <w:rsid w:val="1B570772"/>
    <w:rsid w:val="1B765E86"/>
    <w:rsid w:val="1B8E66DA"/>
    <w:rsid w:val="1BBE6445"/>
    <w:rsid w:val="1BC420F7"/>
    <w:rsid w:val="1BDF5EED"/>
    <w:rsid w:val="1BE50277"/>
    <w:rsid w:val="1C281B11"/>
    <w:rsid w:val="1C551E70"/>
    <w:rsid w:val="1C5F781C"/>
    <w:rsid w:val="1C6074FD"/>
    <w:rsid w:val="1CAA10FA"/>
    <w:rsid w:val="1CC07AE4"/>
    <w:rsid w:val="1CD557F5"/>
    <w:rsid w:val="1CFF40A9"/>
    <w:rsid w:val="1D006D77"/>
    <w:rsid w:val="1D1334D9"/>
    <w:rsid w:val="1D2D3883"/>
    <w:rsid w:val="1D5279DC"/>
    <w:rsid w:val="1D640263"/>
    <w:rsid w:val="1D6563BE"/>
    <w:rsid w:val="1D6B7F07"/>
    <w:rsid w:val="1DB12689"/>
    <w:rsid w:val="1DB97585"/>
    <w:rsid w:val="1DCF0496"/>
    <w:rsid w:val="1DCF0982"/>
    <w:rsid w:val="1DF0665E"/>
    <w:rsid w:val="1E0A42D6"/>
    <w:rsid w:val="1E28404A"/>
    <w:rsid w:val="1E3F3B58"/>
    <w:rsid w:val="1E4F7829"/>
    <w:rsid w:val="1E556C63"/>
    <w:rsid w:val="1E5F5CBE"/>
    <w:rsid w:val="1E7F010E"/>
    <w:rsid w:val="1EA27B4C"/>
    <w:rsid w:val="1EAA2312"/>
    <w:rsid w:val="1ED32208"/>
    <w:rsid w:val="1EE409AD"/>
    <w:rsid w:val="1EE44415"/>
    <w:rsid w:val="1F1157AE"/>
    <w:rsid w:val="1F4D7CE4"/>
    <w:rsid w:val="1F795C09"/>
    <w:rsid w:val="1FC608B8"/>
    <w:rsid w:val="200563F1"/>
    <w:rsid w:val="206C0C24"/>
    <w:rsid w:val="209527CF"/>
    <w:rsid w:val="20CC5161"/>
    <w:rsid w:val="212154AC"/>
    <w:rsid w:val="214271D1"/>
    <w:rsid w:val="215F4C87"/>
    <w:rsid w:val="21CB18BC"/>
    <w:rsid w:val="21FE759C"/>
    <w:rsid w:val="223B07F0"/>
    <w:rsid w:val="227B6E3E"/>
    <w:rsid w:val="228F3999"/>
    <w:rsid w:val="22B660C8"/>
    <w:rsid w:val="22C5455D"/>
    <w:rsid w:val="2307554E"/>
    <w:rsid w:val="23337719"/>
    <w:rsid w:val="23C10881"/>
    <w:rsid w:val="24127EF7"/>
    <w:rsid w:val="24521E21"/>
    <w:rsid w:val="25030D61"/>
    <w:rsid w:val="25387269"/>
    <w:rsid w:val="253D0438"/>
    <w:rsid w:val="25494FD2"/>
    <w:rsid w:val="25544B66"/>
    <w:rsid w:val="25807449"/>
    <w:rsid w:val="258E50DA"/>
    <w:rsid w:val="258F2014"/>
    <w:rsid w:val="25DD571A"/>
    <w:rsid w:val="260B1494"/>
    <w:rsid w:val="2624159B"/>
    <w:rsid w:val="264767DE"/>
    <w:rsid w:val="26971D6D"/>
    <w:rsid w:val="27664213"/>
    <w:rsid w:val="276E53AD"/>
    <w:rsid w:val="27736336"/>
    <w:rsid w:val="27982240"/>
    <w:rsid w:val="27CC5A46"/>
    <w:rsid w:val="27EA51A6"/>
    <w:rsid w:val="283A2135"/>
    <w:rsid w:val="28596130"/>
    <w:rsid w:val="28AB26BB"/>
    <w:rsid w:val="292D6D18"/>
    <w:rsid w:val="294A30C6"/>
    <w:rsid w:val="29916F47"/>
    <w:rsid w:val="29E212A8"/>
    <w:rsid w:val="29FB3AE5"/>
    <w:rsid w:val="2A0140CD"/>
    <w:rsid w:val="2A552967"/>
    <w:rsid w:val="2A640D52"/>
    <w:rsid w:val="2A8764AA"/>
    <w:rsid w:val="2A8C4388"/>
    <w:rsid w:val="2AFC03C5"/>
    <w:rsid w:val="2B670EFD"/>
    <w:rsid w:val="2B916F04"/>
    <w:rsid w:val="2BAC62BA"/>
    <w:rsid w:val="2BBF7883"/>
    <w:rsid w:val="2BF13CCD"/>
    <w:rsid w:val="2BFF63EA"/>
    <w:rsid w:val="2C2630F3"/>
    <w:rsid w:val="2C6B1CD2"/>
    <w:rsid w:val="2C815051"/>
    <w:rsid w:val="2C8E776E"/>
    <w:rsid w:val="2CB201D5"/>
    <w:rsid w:val="2CDB2A7E"/>
    <w:rsid w:val="2CEF2903"/>
    <w:rsid w:val="2D116F4E"/>
    <w:rsid w:val="2D68406F"/>
    <w:rsid w:val="2DA66471"/>
    <w:rsid w:val="2DBB27E5"/>
    <w:rsid w:val="2DE81C44"/>
    <w:rsid w:val="2DEB7395"/>
    <w:rsid w:val="2E160B95"/>
    <w:rsid w:val="2E7B57B9"/>
    <w:rsid w:val="2E861045"/>
    <w:rsid w:val="2EB16926"/>
    <w:rsid w:val="2F5E6467"/>
    <w:rsid w:val="2F77273B"/>
    <w:rsid w:val="2F7838CE"/>
    <w:rsid w:val="2F790D59"/>
    <w:rsid w:val="2FF40230"/>
    <w:rsid w:val="300F25F1"/>
    <w:rsid w:val="30102B82"/>
    <w:rsid w:val="30360848"/>
    <w:rsid w:val="303D5733"/>
    <w:rsid w:val="30402512"/>
    <w:rsid w:val="30473064"/>
    <w:rsid w:val="30503B55"/>
    <w:rsid w:val="3082583C"/>
    <w:rsid w:val="30D53BBD"/>
    <w:rsid w:val="316311C9"/>
    <w:rsid w:val="31731B18"/>
    <w:rsid w:val="317E4255"/>
    <w:rsid w:val="31807FCD"/>
    <w:rsid w:val="31976AA7"/>
    <w:rsid w:val="31A91BA7"/>
    <w:rsid w:val="31E23883"/>
    <w:rsid w:val="322E6ED1"/>
    <w:rsid w:val="32607C3E"/>
    <w:rsid w:val="332D5F33"/>
    <w:rsid w:val="333D0B2E"/>
    <w:rsid w:val="339D6A0F"/>
    <w:rsid w:val="33C543BD"/>
    <w:rsid w:val="342A2472"/>
    <w:rsid w:val="346F60D7"/>
    <w:rsid w:val="34FB796B"/>
    <w:rsid w:val="357A39EE"/>
    <w:rsid w:val="358D0F0B"/>
    <w:rsid w:val="35E81522"/>
    <w:rsid w:val="360B1B2B"/>
    <w:rsid w:val="361907BC"/>
    <w:rsid w:val="36257395"/>
    <w:rsid w:val="36660792"/>
    <w:rsid w:val="36696285"/>
    <w:rsid w:val="36F347AA"/>
    <w:rsid w:val="372E3E3B"/>
    <w:rsid w:val="376B54F8"/>
    <w:rsid w:val="37B24C58"/>
    <w:rsid w:val="37B3277F"/>
    <w:rsid w:val="37C728BC"/>
    <w:rsid w:val="37D414AF"/>
    <w:rsid w:val="380F4E21"/>
    <w:rsid w:val="381A6F9C"/>
    <w:rsid w:val="38425956"/>
    <w:rsid w:val="38464DFE"/>
    <w:rsid w:val="386B2BF0"/>
    <w:rsid w:val="387A7173"/>
    <w:rsid w:val="389D4839"/>
    <w:rsid w:val="38A74091"/>
    <w:rsid w:val="38D8249D"/>
    <w:rsid w:val="38E47094"/>
    <w:rsid w:val="392576AC"/>
    <w:rsid w:val="39882115"/>
    <w:rsid w:val="39893797"/>
    <w:rsid w:val="399D7079"/>
    <w:rsid w:val="39C102BB"/>
    <w:rsid w:val="39EE5F1B"/>
    <w:rsid w:val="3A5E69D2"/>
    <w:rsid w:val="3A6D4E67"/>
    <w:rsid w:val="3AAA6566"/>
    <w:rsid w:val="3AE10E25"/>
    <w:rsid w:val="3AF64429"/>
    <w:rsid w:val="3B4402BD"/>
    <w:rsid w:val="3B455DE4"/>
    <w:rsid w:val="3B464A60"/>
    <w:rsid w:val="3B536154"/>
    <w:rsid w:val="3B551290"/>
    <w:rsid w:val="3B6C000F"/>
    <w:rsid w:val="3B81506E"/>
    <w:rsid w:val="3BDD426E"/>
    <w:rsid w:val="3BE70C49"/>
    <w:rsid w:val="3BF75330"/>
    <w:rsid w:val="3C01169C"/>
    <w:rsid w:val="3C720E5A"/>
    <w:rsid w:val="3C917532"/>
    <w:rsid w:val="3CA1704A"/>
    <w:rsid w:val="3CB639DA"/>
    <w:rsid w:val="3D5606D3"/>
    <w:rsid w:val="3D567E34"/>
    <w:rsid w:val="3D6953E6"/>
    <w:rsid w:val="3DA54918"/>
    <w:rsid w:val="3E231556"/>
    <w:rsid w:val="3E273B4C"/>
    <w:rsid w:val="3E323B10"/>
    <w:rsid w:val="3E3C27E0"/>
    <w:rsid w:val="3E4D7489"/>
    <w:rsid w:val="3EB2553E"/>
    <w:rsid w:val="3ED241CF"/>
    <w:rsid w:val="3EE14075"/>
    <w:rsid w:val="3EEF22EE"/>
    <w:rsid w:val="3F753BEB"/>
    <w:rsid w:val="3F7A390C"/>
    <w:rsid w:val="3FEA6D99"/>
    <w:rsid w:val="4013200C"/>
    <w:rsid w:val="402E32EA"/>
    <w:rsid w:val="403311B0"/>
    <w:rsid w:val="40531FA6"/>
    <w:rsid w:val="407A445A"/>
    <w:rsid w:val="40A83192"/>
    <w:rsid w:val="40EF4827"/>
    <w:rsid w:val="414803DC"/>
    <w:rsid w:val="41647CC8"/>
    <w:rsid w:val="41774AD7"/>
    <w:rsid w:val="41BF2CCE"/>
    <w:rsid w:val="41D36B01"/>
    <w:rsid w:val="41F83BB0"/>
    <w:rsid w:val="420267DC"/>
    <w:rsid w:val="422C3D20"/>
    <w:rsid w:val="42434F81"/>
    <w:rsid w:val="426C1EA8"/>
    <w:rsid w:val="4294734C"/>
    <w:rsid w:val="4352181D"/>
    <w:rsid w:val="43972F54"/>
    <w:rsid w:val="43A60B8B"/>
    <w:rsid w:val="43AE09CA"/>
    <w:rsid w:val="43D0704D"/>
    <w:rsid w:val="43EE526A"/>
    <w:rsid w:val="43F14D5A"/>
    <w:rsid w:val="44781E04"/>
    <w:rsid w:val="44894F93"/>
    <w:rsid w:val="44BC2C73"/>
    <w:rsid w:val="44D04970"/>
    <w:rsid w:val="450E0944"/>
    <w:rsid w:val="451505D5"/>
    <w:rsid w:val="453D4C07"/>
    <w:rsid w:val="45533F2D"/>
    <w:rsid w:val="45543282"/>
    <w:rsid w:val="45594965"/>
    <w:rsid w:val="45796B4B"/>
    <w:rsid w:val="465313B5"/>
    <w:rsid w:val="468C0585"/>
    <w:rsid w:val="46BA1434"/>
    <w:rsid w:val="46D923D8"/>
    <w:rsid w:val="471817F9"/>
    <w:rsid w:val="47354F5E"/>
    <w:rsid w:val="47404E68"/>
    <w:rsid w:val="477A04AC"/>
    <w:rsid w:val="4795242A"/>
    <w:rsid w:val="47DB7AD9"/>
    <w:rsid w:val="47ED75E7"/>
    <w:rsid w:val="48E02BBB"/>
    <w:rsid w:val="48FB5D34"/>
    <w:rsid w:val="49000090"/>
    <w:rsid w:val="490C5BA3"/>
    <w:rsid w:val="491868E5"/>
    <w:rsid w:val="493556E9"/>
    <w:rsid w:val="49557B3A"/>
    <w:rsid w:val="495F2766"/>
    <w:rsid w:val="49B77EAC"/>
    <w:rsid w:val="49B8094B"/>
    <w:rsid w:val="49E54745"/>
    <w:rsid w:val="49E62540"/>
    <w:rsid w:val="49FB3008"/>
    <w:rsid w:val="4A001853"/>
    <w:rsid w:val="4A1B465B"/>
    <w:rsid w:val="4A1E617D"/>
    <w:rsid w:val="4A2C2648"/>
    <w:rsid w:val="4A306954"/>
    <w:rsid w:val="4AB35F0C"/>
    <w:rsid w:val="4AF11F03"/>
    <w:rsid w:val="4B2E419E"/>
    <w:rsid w:val="4B390BF7"/>
    <w:rsid w:val="4B6C4CC7"/>
    <w:rsid w:val="4B70503B"/>
    <w:rsid w:val="4B771FE9"/>
    <w:rsid w:val="4B865D88"/>
    <w:rsid w:val="4BA97CC9"/>
    <w:rsid w:val="4BAF3531"/>
    <w:rsid w:val="4BB816B0"/>
    <w:rsid w:val="4BE971AF"/>
    <w:rsid w:val="4BFC3CFC"/>
    <w:rsid w:val="4C59349D"/>
    <w:rsid w:val="4C87000A"/>
    <w:rsid w:val="4CAD5011"/>
    <w:rsid w:val="4CB44B77"/>
    <w:rsid w:val="4D007DBC"/>
    <w:rsid w:val="4D065244"/>
    <w:rsid w:val="4D121EFA"/>
    <w:rsid w:val="4D4B7289"/>
    <w:rsid w:val="4D737C3B"/>
    <w:rsid w:val="4DCB5AD2"/>
    <w:rsid w:val="4DDD5989"/>
    <w:rsid w:val="4DF3631E"/>
    <w:rsid w:val="4E251EF2"/>
    <w:rsid w:val="4E2811C7"/>
    <w:rsid w:val="4E7505EB"/>
    <w:rsid w:val="4EBE1CDD"/>
    <w:rsid w:val="4ECC7F56"/>
    <w:rsid w:val="4F562807"/>
    <w:rsid w:val="4FFF435B"/>
    <w:rsid w:val="50601F50"/>
    <w:rsid w:val="50845547"/>
    <w:rsid w:val="50BC2EC3"/>
    <w:rsid w:val="50EC2B32"/>
    <w:rsid w:val="50F47A97"/>
    <w:rsid w:val="512344AA"/>
    <w:rsid w:val="51834F68"/>
    <w:rsid w:val="519D5BDA"/>
    <w:rsid w:val="51A742B0"/>
    <w:rsid w:val="51A96C75"/>
    <w:rsid w:val="51CB5CB9"/>
    <w:rsid w:val="51DF6252"/>
    <w:rsid w:val="524E096B"/>
    <w:rsid w:val="528F6763"/>
    <w:rsid w:val="52A47E2C"/>
    <w:rsid w:val="52C27FEE"/>
    <w:rsid w:val="5309699E"/>
    <w:rsid w:val="531225F7"/>
    <w:rsid w:val="53420EC0"/>
    <w:rsid w:val="536A5F90"/>
    <w:rsid w:val="537961D3"/>
    <w:rsid w:val="54271C3B"/>
    <w:rsid w:val="54336CC9"/>
    <w:rsid w:val="54643FD0"/>
    <w:rsid w:val="546B0211"/>
    <w:rsid w:val="556F3D31"/>
    <w:rsid w:val="55A63D62"/>
    <w:rsid w:val="55AD6C76"/>
    <w:rsid w:val="55D65B5E"/>
    <w:rsid w:val="55E03D30"/>
    <w:rsid w:val="561D7E65"/>
    <w:rsid w:val="56247E6D"/>
    <w:rsid w:val="56257A8C"/>
    <w:rsid w:val="564E7DEA"/>
    <w:rsid w:val="56573B22"/>
    <w:rsid w:val="565E1C56"/>
    <w:rsid w:val="5666015D"/>
    <w:rsid w:val="56EA7B13"/>
    <w:rsid w:val="56F766EF"/>
    <w:rsid w:val="570D173E"/>
    <w:rsid w:val="57174680"/>
    <w:rsid w:val="576F626A"/>
    <w:rsid w:val="57770C7B"/>
    <w:rsid w:val="579104E0"/>
    <w:rsid w:val="57990A1B"/>
    <w:rsid w:val="57DC47E9"/>
    <w:rsid w:val="57E75E01"/>
    <w:rsid w:val="58AB5080"/>
    <w:rsid w:val="58B8154B"/>
    <w:rsid w:val="58C70C0A"/>
    <w:rsid w:val="59103135"/>
    <w:rsid w:val="59296E49"/>
    <w:rsid w:val="5969207B"/>
    <w:rsid w:val="59712CB4"/>
    <w:rsid w:val="599D4BCB"/>
    <w:rsid w:val="59BC506B"/>
    <w:rsid w:val="59E3512D"/>
    <w:rsid w:val="59E92304"/>
    <w:rsid w:val="5A3D43FE"/>
    <w:rsid w:val="5A6F7498"/>
    <w:rsid w:val="5AC92537"/>
    <w:rsid w:val="5AD102F4"/>
    <w:rsid w:val="5AE34DE8"/>
    <w:rsid w:val="5B237603"/>
    <w:rsid w:val="5B3207EA"/>
    <w:rsid w:val="5B345801"/>
    <w:rsid w:val="5B461BF1"/>
    <w:rsid w:val="5B495558"/>
    <w:rsid w:val="5B604353"/>
    <w:rsid w:val="5B8A1E32"/>
    <w:rsid w:val="5BD37EBA"/>
    <w:rsid w:val="5C18094C"/>
    <w:rsid w:val="5C46636D"/>
    <w:rsid w:val="5C4A4BB0"/>
    <w:rsid w:val="5C734427"/>
    <w:rsid w:val="5C78796F"/>
    <w:rsid w:val="5CAF2B39"/>
    <w:rsid w:val="5CCC1A69"/>
    <w:rsid w:val="5D3A4C25"/>
    <w:rsid w:val="5D746389"/>
    <w:rsid w:val="5D8B0800"/>
    <w:rsid w:val="5DAF6594"/>
    <w:rsid w:val="5DCF7A63"/>
    <w:rsid w:val="5DFB0858"/>
    <w:rsid w:val="5E23390B"/>
    <w:rsid w:val="5E7F3237"/>
    <w:rsid w:val="5E966037"/>
    <w:rsid w:val="5EB7645F"/>
    <w:rsid w:val="5EBC0F46"/>
    <w:rsid w:val="5F103E8F"/>
    <w:rsid w:val="5F7206A6"/>
    <w:rsid w:val="5F7D4E73"/>
    <w:rsid w:val="5FC55683"/>
    <w:rsid w:val="5FC86518"/>
    <w:rsid w:val="5FCD5990"/>
    <w:rsid w:val="606664F5"/>
    <w:rsid w:val="606D5311"/>
    <w:rsid w:val="60B41AA4"/>
    <w:rsid w:val="60E67BC2"/>
    <w:rsid w:val="61052B4B"/>
    <w:rsid w:val="610C541D"/>
    <w:rsid w:val="61120392"/>
    <w:rsid w:val="611E443F"/>
    <w:rsid w:val="611F660B"/>
    <w:rsid w:val="61391102"/>
    <w:rsid w:val="61395F27"/>
    <w:rsid w:val="616C2EDA"/>
    <w:rsid w:val="61E3588B"/>
    <w:rsid w:val="61ED7010"/>
    <w:rsid w:val="61F35DC5"/>
    <w:rsid w:val="62061579"/>
    <w:rsid w:val="623068C3"/>
    <w:rsid w:val="627C531C"/>
    <w:rsid w:val="62B26317"/>
    <w:rsid w:val="62BC42C6"/>
    <w:rsid w:val="62CE460F"/>
    <w:rsid w:val="62D90A3C"/>
    <w:rsid w:val="62FD7BFC"/>
    <w:rsid w:val="639130C5"/>
    <w:rsid w:val="639C0744"/>
    <w:rsid w:val="63E71ED9"/>
    <w:rsid w:val="641C5821"/>
    <w:rsid w:val="642D7291"/>
    <w:rsid w:val="643E324C"/>
    <w:rsid w:val="644B0407"/>
    <w:rsid w:val="64580D18"/>
    <w:rsid w:val="64AA08E2"/>
    <w:rsid w:val="64B41760"/>
    <w:rsid w:val="64C25C2B"/>
    <w:rsid w:val="64D608B5"/>
    <w:rsid w:val="64E35BA2"/>
    <w:rsid w:val="64F71E63"/>
    <w:rsid w:val="656A5CCE"/>
    <w:rsid w:val="65A27F67"/>
    <w:rsid w:val="65A6554D"/>
    <w:rsid w:val="65AF6DA2"/>
    <w:rsid w:val="65B732B6"/>
    <w:rsid w:val="66080EF4"/>
    <w:rsid w:val="66142C01"/>
    <w:rsid w:val="663752FA"/>
    <w:rsid w:val="666331E3"/>
    <w:rsid w:val="66820161"/>
    <w:rsid w:val="668313EA"/>
    <w:rsid w:val="67280BA1"/>
    <w:rsid w:val="67312331"/>
    <w:rsid w:val="67854D77"/>
    <w:rsid w:val="67A1421E"/>
    <w:rsid w:val="680666BF"/>
    <w:rsid w:val="68444BA9"/>
    <w:rsid w:val="684A6664"/>
    <w:rsid w:val="686B2276"/>
    <w:rsid w:val="687729BB"/>
    <w:rsid w:val="688B1BF3"/>
    <w:rsid w:val="68EC56DC"/>
    <w:rsid w:val="68FE744E"/>
    <w:rsid w:val="6934689A"/>
    <w:rsid w:val="694E1A8A"/>
    <w:rsid w:val="69525645"/>
    <w:rsid w:val="696127B8"/>
    <w:rsid w:val="69FA19C4"/>
    <w:rsid w:val="69FA5E67"/>
    <w:rsid w:val="6A8501ED"/>
    <w:rsid w:val="6ACC2E43"/>
    <w:rsid w:val="6AE42FEB"/>
    <w:rsid w:val="6B02233C"/>
    <w:rsid w:val="6B28418D"/>
    <w:rsid w:val="6B774548"/>
    <w:rsid w:val="6B7A0198"/>
    <w:rsid w:val="6B7D0AFE"/>
    <w:rsid w:val="6BD65659"/>
    <w:rsid w:val="6BEC3B8A"/>
    <w:rsid w:val="6BFD579B"/>
    <w:rsid w:val="6C1E7857"/>
    <w:rsid w:val="6C2E3BA6"/>
    <w:rsid w:val="6C557385"/>
    <w:rsid w:val="6C6C46CF"/>
    <w:rsid w:val="6C7D4B2E"/>
    <w:rsid w:val="6C832C74"/>
    <w:rsid w:val="6C8B0FF9"/>
    <w:rsid w:val="6CB76B30"/>
    <w:rsid w:val="6CE64481"/>
    <w:rsid w:val="6CEE5300"/>
    <w:rsid w:val="6D0668D1"/>
    <w:rsid w:val="6D271528"/>
    <w:rsid w:val="6D317DF2"/>
    <w:rsid w:val="6D5C56A6"/>
    <w:rsid w:val="6D5E1678"/>
    <w:rsid w:val="6DC9627D"/>
    <w:rsid w:val="6DCA1377"/>
    <w:rsid w:val="6DDC61BB"/>
    <w:rsid w:val="6DE24C48"/>
    <w:rsid w:val="6DE65F34"/>
    <w:rsid w:val="6DE86A60"/>
    <w:rsid w:val="6E3E1B2A"/>
    <w:rsid w:val="6E3E3969"/>
    <w:rsid w:val="6E7814D5"/>
    <w:rsid w:val="6E8128E8"/>
    <w:rsid w:val="6EBC082A"/>
    <w:rsid w:val="6EFA7EFA"/>
    <w:rsid w:val="6F046E40"/>
    <w:rsid w:val="6F15104E"/>
    <w:rsid w:val="6F1A48B6"/>
    <w:rsid w:val="6F2E0D12"/>
    <w:rsid w:val="6F3365CC"/>
    <w:rsid w:val="6F467459"/>
    <w:rsid w:val="6F6059F9"/>
    <w:rsid w:val="6FCC3E02"/>
    <w:rsid w:val="6FE10F5B"/>
    <w:rsid w:val="70187047"/>
    <w:rsid w:val="70294DB1"/>
    <w:rsid w:val="704332E1"/>
    <w:rsid w:val="705A10FF"/>
    <w:rsid w:val="70601AED"/>
    <w:rsid w:val="707E6B5D"/>
    <w:rsid w:val="70840239"/>
    <w:rsid w:val="708E01ED"/>
    <w:rsid w:val="70B7060E"/>
    <w:rsid w:val="711B176D"/>
    <w:rsid w:val="71325EE7"/>
    <w:rsid w:val="714479C8"/>
    <w:rsid w:val="7161057A"/>
    <w:rsid w:val="71D62D16"/>
    <w:rsid w:val="71E46D40"/>
    <w:rsid w:val="7253310B"/>
    <w:rsid w:val="729A01E8"/>
    <w:rsid w:val="729F2352"/>
    <w:rsid w:val="72B34E05"/>
    <w:rsid w:val="72C45AED"/>
    <w:rsid w:val="7305703F"/>
    <w:rsid w:val="733B7698"/>
    <w:rsid w:val="735A1725"/>
    <w:rsid w:val="739A7C6F"/>
    <w:rsid w:val="739E150D"/>
    <w:rsid w:val="73B03B2A"/>
    <w:rsid w:val="73EB766C"/>
    <w:rsid w:val="74086AF3"/>
    <w:rsid w:val="74393A30"/>
    <w:rsid w:val="74980757"/>
    <w:rsid w:val="74A024E4"/>
    <w:rsid w:val="74C01A5C"/>
    <w:rsid w:val="74E05C5A"/>
    <w:rsid w:val="754077FF"/>
    <w:rsid w:val="75812D42"/>
    <w:rsid w:val="75887703"/>
    <w:rsid w:val="758B02BC"/>
    <w:rsid w:val="75AE25D4"/>
    <w:rsid w:val="75D67789"/>
    <w:rsid w:val="75DA5042"/>
    <w:rsid w:val="760342F6"/>
    <w:rsid w:val="76575B5D"/>
    <w:rsid w:val="765E6612"/>
    <w:rsid w:val="76604B02"/>
    <w:rsid w:val="76944F4E"/>
    <w:rsid w:val="76A076F9"/>
    <w:rsid w:val="76C07AF1"/>
    <w:rsid w:val="773314FB"/>
    <w:rsid w:val="774743C0"/>
    <w:rsid w:val="77514BED"/>
    <w:rsid w:val="77571385"/>
    <w:rsid w:val="77595647"/>
    <w:rsid w:val="779B2CD1"/>
    <w:rsid w:val="77BA4E88"/>
    <w:rsid w:val="77D55D6F"/>
    <w:rsid w:val="78142696"/>
    <w:rsid w:val="786D3464"/>
    <w:rsid w:val="78721AFC"/>
    <w:rsid w:val="78766669"/>
    <w:rsid w:val="78A540D5"/>
    <w:rsid w:val="78CF226D"/>
    <w:rsid w:val="794E3ADA"/>
    <w:rsid w:val="79714F67"/>
    <w:rsid w:val="79756840"/>
    <w:rsid w:val="7A236D15"/>
    <w:rsid w:val="7A2811D8"/>
    <w:rsid w:val="7A291A95"/>
    <w:rsid w:val="7A293BFF"/>
    <w:rsid w:val="7A37456E"/>
    <w:rsid w:val="7A3854A2"/>
    <w:rsid w:val="7AC8601E"/>
    <w:rsid w:val="7B034450"/>
    <w:rsid w:val="7B191C40"/>
    <w:rsid w:val="7B2F0C84"/>
    <w:rsid w:val="7B905F4D"/>
    <w:rsid w:val="7BA9149B"/>
    <w:rsid w:val="7BAE0860"/>
    <w:rsid w:val="7BC00C2B"/>
    <w:rsid w:val="7C0661F8"/>
    <w:rsid w:val="7C1F175E"/>
    <w:rsid w:val="7C310E5F"/>
    <w:rsid w:val="7C3B688B"/>
    <w:rsid w:val="7C4E4CC7"/>
    <w:rsid w:val="7C817D22"/>
    <w:rsid w:val="7C8718C5"/>
    <w:rsid w:val="7C9E253B"/>
    <w:rsid w:val="7CE87DA1"/>
    <w:rsid w:val="7CED3C84"/>
    <w:rsid w:val="7D0B583E"/>
    <w:rsid w:val="7D4F03FD"/>
    <w:rsid w:val="7D562F5D"/>
    <w:rsid w:val="7D5D2E53"/>
    <w:rsid w:val="7D727976"/>
    <w:rsid w:val="7D8201F6"/>
    <w:rsid w:val="7DAE0FEB"/>
    <w:rsid w:val="7DF7741D"/>
    <w:rsid w:val="7E6F6EF4"/>
    <w:rsid w:val="7E82105B"/>
    <w:rsid w:val="7EA67F14"/>
    <w:rsid w:val="7EBE4C17"/>
    <w:rsid w:val="7F1A5C65"/>
    <w:rsid w:val="7F36553F"/>
    <w:rsid w:val="7F5657F4"/>
    <w:rsid w:val="7F5B254E"/>
    <w:rsid w:val="7F6E56C6"/>
    <w:rsid w:val="7FDC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6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name="heading 7" w:locked="1"/>
    <w:lsdException w:qFormat="1" w:unhideWhenUsed="0" w:uiPriority="9" w:name="heading 8" w:locked="1"/>
    <w:lsdException w:qFormat="1" w:unhideWhenUsed="0" w:uiPriority="9" w:name="heading 9" w:locked="1"/>
    <w:lsdException w:unhideWhenUsed="0" w:uiPriority="99" w:name="index 1" w:locked="1"/>
    <w:lsdException w:unhideWhenUsed="0" w:uiPriority="99" w:name="index 2" w:locked="1"/>
    <w:lsdException w:unhideWhenUsed="0" w:uiPriority="99" w:name="index 3" w:locked="1"/>
    <w:lsdException w:unhideWhenUsed="0" w:uiPriority="99" w:name="index 4" w:locked="1"/>
    <w:lsdException w:unhideWhenUsed="0" w:uiPriority="99" w:name="index 5" w:locked="1"/>
    <w:lsdException w:unhideWhenUsed="0" w:uiPriority="99" w:name="index 6" w:locked="1"/>
    <w:lsdException w:unhideWhenUsed="0" w:uiPriority="99" w:name="index 7" w:locked="1"/>
    <w:lsdException w:unhideWhenUsed="0" w:uiPriority="99" w:name="index 8" w:locked="1"/>
    <w:lsdException w:unhideWhenUsed="0" w:uiPriority="99" w:name="index 9" w:locked="1"/>
    <w:lsdException w:qFormat="1" w:unhideWhenUsed="0" w:uiPriority="39" w:semiHidden="0" w:name="toc 1" w:locked="1"/>
    <w:lsdException w:qFormat="1" w:unhideWhenUsed="0" w:uiPriority="39" w:semiHidden="0" w:name="toc 2" w:locked="1"/>
    <w:lsdException w:qFormat="1" w:unhideWhenUsed="0" w:uiPriority="39" w:semiHidden="0" w:name="toc 3" w:locked="1"/>
    <w:lsdException w:qFormat="1" w:unhideWhenUsed="0" w:uiPriority="79" w:name="toc 4" w:locked="1"/>
    <w:lsdException w:unhideWhenUsed="0" w:uiPriority="79" w:name="toc 5" w:locked="1"/>
    <w:lsdException w:unhideWhenUsed="0" w:uiPriority="79" w:name="toc 6" w:locked="1"/>
    <w:lsdException w:unhideWhenUsed="0" w:uiPriority="79" w:name="toc 7" w:locked="1"/>
    <w:lsdException w:unhideWhenUsed="0" w:uiPriority="79" w:name="toc 8" w:locked="1"/>
    <w:lsdException w:unhideWhenUsed="0" w:uiPriority="79" w:name="toc 9" w:locked="1"/>
    <w:lsdException w:unhideWhenUsed="0" w:uiPriority="99" w:name="Normal Indent" w:locked="1"/>
    <w:lsdException w:unhideWhenUsed="0" w:uiPriority="99" w:name="footnote text" w:locked="1"/>
    <w:lsdException w:qFormat="1" w:unhideWhenUsed="0" w:uiPriority="99" w:name="annotation text" w:locked="1"/>
    <w:lsdException w:qFormat="1" w:unhideWhenUsed="0" w:uiPriority="99" w:name="header" w:locked="1"/>
    <w:lsdException w:qFormat="1" w:unhideWhenUsed="0" w:uiPriority="99" w:name="footer" w:locked="1"/>
    <w:lsdException w:unhideWhenUsed="0" w:uiPriority="99" w:name="index heading" w:locked="1"/>
    <w:lsdException w:qFormat="1" w:unhideWhenUsed="0" w:uiPriority="35" w:semiHidden="0" w:name="caption" w:locked="1"/>
    <w:lsdException w:unhideWhenUsed="0" w:uiPriority="99" w:name="table of figures" w:locked="1"/>
    <w:lsdException w:unhideWhenUsed="0" w:uiPriority="99" w:name="envelope address" w:locked="1"/>
    <w:lsdException w:unhideWhenUsed="0" w:uiPriority="99" w:name="envelope return" w:locked="1"/>
    <w:lsdException w:unhideWhenUsed="0" w:uiPriority="99" w:name="footnote reference" w:locked="1"/>
    <w:lsdException w:qFormat="1" w:unhideWhenUsed="0" w:uiPriority="99" w:name="annotation reference" w:locked="1"/>
    <w:lsdException w:unhideWhenUsed="0" w:uiPriority="99" w:name="line number" w:locked="1"/>
    <w:lsdException w:unhideWhenUsed="0" w:uiPriority="99" w:name="page number" w:locked="1"/>
    <w:lsdException w:unhideWhenUsed="0" w:uiPriority="99" w:name="endnote reference" w:locked="1"/>
    <w:lsdException w:unhideWhenUsed="0" w:uiPriority="99" w:name="endnote text" w:locked="1"/>
    <w:lsdException w:unhideWhenUsed="0" w:uiPriority="99" w:name="table of authorities" w:locked="1"/>
    <w:lsdException w:unhideWhenUsed="0" w:uiPriority="99" w:name="macro" w:locked="1"/>
    <w:lsdException w:unhideWhenUsed="0" w:uiPriority="99" w:name="toa heading" w:locked="1"/>
    <w:lsdException w:qFormat="1" w:unhideWhenUsed="0" w:uiPriority="99" w:name="List" w:locked="1"/>
    <w:lsdException w:unhideWhenUsed="0" w:uiPriority="99" w:name="List Bullet" w:locked="1"/>
    <w:lsdException w:unhideWhenUsed="0" w:uiPriority="99" w:name="List Number" w:locked="1"/>
    <w:lsdException w:qFormat="1" w:unhideWhenUsed="0" w:uiPriority="99" w:name="List 2" w:locked="1"/>
    <w:lsdException w:qFormat="1" w:unhideWhenUsed="0" w:uiPriority="99" w:name="List 3" w:locked="1"/>
    <w:lsdException w:unhideWhenUsed="0" w:uiPriority="99" w:name="List 4" w:locked="1"/>
    <w:lsdException w:unhideWhenUsed="0" w:uiPriority="99" w:name="List 5" w:locked="1"/>
    <w:lsdException w:unhideWhenUsed="0" w:uiPriority="99" w:name="List Bullet 2" w:locked="1"/>
    <w:lsdException w:unhideWhenUsed="0" w:uiPriority="99" w:name="List Bullet 3" w:locked="1"/>
    <w:lsdException w:unhideWhenUsed="0" w:uiPriority="99" w:name="List Bullet 4" w:locked="1"/>
    <w:lsdException w:unhideWhenUsed="0" w:uiPriority="99" w:name="List Bullet 5" w:locked="1"/>
    <w:lsdException w:unhideWhenUsed="0" w:uiPriority="99" w:name="List Number 2" w:locked="1"/>
    <w:lsdException w:unhideWhenUsed="0" w:uiPriority="99" w:name="List Number 3" w:locked="1"/>
    <w:lsdException w:unhideWhenUsed="0" w:uiPriority="99" w:name="List Number 4" w:locked="1"/>
    <w:lsdException w:unhideWhenUsed="0" w:uiPriority="99" w:name="List Number 5" w:locked="1"/>
    <w:lsdException w:unhideWhenUsed="0" w:uiPriority="79" w:semiHidden="0" w:name="Title" w:locked="1"/>
    <w:lsdException w:unhideWhenUsed="0" w:uiPriority="99" w:name="Closing" w:locked="1"/>
    <w:lsdException w:unhideWhenUsed="0" w:uiPriority="99" w:name="Signature" w:locked="1"/>
    <w:lsdException w:qFormat="1" w:uiPriority="1" w:name="Default Paragraph Font"/>
    <w:lsdException w:qFormat="1" w:unhideWhenUsed="0" w:uiPriority="99" w:semiHidden="0" w:name="Body Text" w:locked="1"/>
    <w:lsdException w:unhideWhenUsed="0" w:uiPriority="99" w:name="Body Text Indent" w:locked="1"/>
    <w:lsdException w:unhideWhenUsed="0" w:uiPriority="99" w:name="List Continue" w:locked="1"/>
    <w:lsdException w:unhideWhenUsed="0" w:uiPriority="99" w:name="List Continue 2" w:locked="1"/>
    <w:lsdException w:unhideWhenUsed="0" w:uiPriority="99" w:name="List Continue 3" w:locked="1"/>
    <w:lsdException w:unhideWhenUsed="0" w:uiPriority="99" w:name="List Continue 4" w:locked="1"/>
    <w:lsdException w:unhideWhenUsed="0" w:uiPriority="99" w:name="List Continue 5" w:locked="1"/>
    <w:lsdException w:unhideWhenUsed="0" w:uiPriority="99" w:name="Message Header" w:locked="1"/>
    <w:lsdException w:qFormat="1" w:unhideWhenUsed="0" w:uiPriority="11" w:name="Subtitle" w:locked="1"/>
    <w:lsdException w:unhideWhenUsed="0" w:uiPriority="99" w:name="Salutation" w:locked="1"/>
    <w:lsdException w:unhideWhenUsed="0" w:uiPriority="99" w:name="Date" w:locked="1"/>
    <w:lsdException w:unhideWhenUsed="0" w:uiPriority="99" w:name="Body Text First Indent" w:locked="1"/>
    <w:lsdException w:unhideWhenUsed="0" w:uiPriority="99" w:name="Body Text First Indent 2" w:locked="1"/>
    <w:lsdException w:unhideWhenUsed="0" w:uiPriority="99" w:name="Note Heading" w:locked="1"/>
    <w:lsdException w:unhideWhenUsed="0" w:uiPriority="99" w:name="Body Text 2" w:locked="1"/>
    <w:lsdException w:unhideWhenUsed="0" w:uiPriority="99" w:name="Body Text 3" w:locked="1"/>
    <w:lsdException w:unhideWhenUsed="0" w:uiPriority="99" w:name="Body Text Indent 2" w:locked="1"/>
    <w:lsdException w:unhideWhenUsed="0" w:uiPriority="99" w:name="Body Text Indent 3" w:locked="1"/>
    <w:lsdException w:unhideWhenUsed="0" w:uiPriority="99" w:name="Block Text" w:locked="1"/>
    <w:lsdException w:qFormat="1" w:unhideWhenUsed="0" w:uiPriority="99" w:semiHidden="0" w:name="Hyperlink" w:locked="1"/>
    <w:lsdException w:unhideWhenUsed="0" w:uiPriority="99" w:name="FollowedHyperlink" w:locked="1"/>
    <w:lsdException w:qFormat="1" w:unhideWhenUsed="0" w:uiPriority="22" w:name="Strong" w:locked="1"/>
    <w:lsdException w:unhideWhenUsed="0" w:uiPriority="20" w:semiHidden="0" w:name="Emphasis" w:locked="1"/>
    <w:lsdException w:unhideWhenUsed="0" w:uiPriority="99" w:name="Document Map" w:locked="1"/>
    <w:lsdException w:unhideWhenUsed="0" w:uiPriority="99" w:name="Plain Text" w:locked="1"/>
    <w:lsdException w:unhideWhenUsed="0" w:uiPriority="99" w:name="E-mail Signature" w:locked="1"/>
    <w:lsdException w:unhideWhenUsed="0" w:uiPriority="99" w:name="Normal (Web)" w:locked="1"/>
    <w:lsdException w:unhideWhenUsed="0" w:uiPriority="79" w:name="HTML Acronym" w:locked="1"/>
    <w:lsdException w:unhideWhenUsed="0" w:uiPriority="79" w:name="HTML Address" w:locked="1"/>
    <w:lsdException w:unhideWhenUsed="0" w:uiPriority="79" w:name="HTML Cite" w:locked="1"/>
    <w:lsdException w:unhideWhenUsed="0" w:uiPriority="79" w:name="HTML Code" w:locked="1"/>
    <w:lsdException w:unhideWhenUsed="0" w:uiPriority="79" w:name="HTML Definition" w:locked="1"/>
    <w:lsdException w:unhideWhenUsed="0" w:uiPriority="79" w:name="HTML Keyboard" w:locked="1"/>
    <w:lsdException w:unhideWhenUsed="0" w:uiPriority="79" w:name="HTML Preformatted" w:locked="1"/>
    <w:lsdException w:unhideWhenUsed="0" w:uiPriority="79" w:name="HTML Sample" w:locked="1"/>
    <w:lsdException w:unhideWhenUsed="0" w:uiPriority="79" w:name="HTML Typewriter" w:locked="1"/>
    <w:lsdException w:unhideWhenUsed="0" w:uiPriority="79" w:name="HTML Variable" w:locked="1"/>
    <w:lsdException w:qFormat="1" w:uiPriority="99" w:name="Normal Table"/>
    <w:lsdException w:qFormat="1" w:unhideWhenUsed="0"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 w:locked="1"/>
    <w:lsdException w:qFormat="1" w:unhideWhenUsed="0" w:uiPriority="3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 w:locked="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6"/>
    <w:pPr>
      <w:jc w:val="both"/>
    </w:pPr>
    <w:rPr>
      <w:rFonts w:ascii="Times New Roman" w:hAnsi="Times New Roman" w:eastAsia="宋体" w:cstheme="minorBidi"/>
      <w:kern w:val="2"/>
      <w:sz w:val="18"/>
      <w:szCs w:val="21"/>
      <w:lang w:val="en-US" w:eastAsia="zh-CN" w:bidi="ar-SA"/>
      <w14:ligatures w14:val="standardContextual"/>
    </w:rPr>
  </w:style>
  <w:style w:type="paragraph" w:styleId="2">
    <w:name w:val="heading 1"/>
    <w:basedOn w:val="3"/>
    <w:next w:val="4"/>
    <w:link w:val="39"/>
    <w:autoRedefine/>
    <w:qFormat/>
    <w:uiPriority w:val="9"/>
    <w:pPr>
      <w:numPr>
        <w:ilvl w:val="0"/>
        <w:numId w:val="1"/>
      </w:numPr>
    </w:pPr>
  </w:style>
  <w:style w:type="paragraph" w:styleId="5">
    <w:name w:val="heading 2"/>
    <w:basedOn w:val="6"/>
    <w:next w:val="4"/>
    <w:link w:val="40"/>
    <w:autoRedefine/>
    <w:qFormat/>
    <w:uiPriority w:val="9"/>
    <w:pPr>
      <w:numPr>
        <w:ilvl w:val="1"/>
        <w:numId w:val="1"/>
      </w:numPr>
    </w:pPr>
  </w:style>
  <w:style w:type="paragraph" w:styleId="7">
    <w:name w:val="heading 3"/>
    <w:basedOn w:val="8"/>
    <w:next w:val="4"/>
    <w:link w:val="38"/>
    <w:autoRedefine/>
    <w:qFormat/>
    <w:uiPriority w:val="9"/>
    <w:pPr>
      <w:numPr>
        <w:ilvl w:val="2"/>
        <w:numId w:val="1"/>
      </w:numPr>
      <w:tabs>
        <w:tab w:val="left" w:pos="482"/>
      </w:tabs>
    </w:pPr>
  </w:style>
  <w:style w:type="paragraph" w:styleId="9">
    <w:name w:val="heading 4"/>
    <w:basedOn w:val="10"/>
    <w:next w:val="4"/>
    <w:link w:val="41"/>
    <w:autoRedefine/>
    <w:qFormat/>
    <w:uiPriority w:val="9"/>
    <w:pPr>
      <w:numPr>
        <w:ilvl w:val="3"/>
        <w:numId w:val="1"/>
      </w:numPr>
    </w:pPr>
  </w:style>
  <w:style w:type="paragraph" w:styleId="11">
    <w:name w:val="heading 5"/>
    <w:basedOn w:val="12"/>
    <w:next w:val="4"/>
    <w:link w:val="42"/>
    <w:autoRedefine/>
    <w:qFormat/>
    <w:uiPriority w:val="9"/>
    <w:pPr>
      <w:numPr>
        <w:ilvl w:val="4"/>
        <w:numId w:val="1"/>
      </w:numPr>
    </w:pPr>
  </w:style>
  <w:style w:type="paragraph" w:styleId="13">
    <w:name w:val="heading 6"/>
    <w:next w:val="4"/>
    <w:link w:val="43"/>
    <w:autoRedefine/>
    <w:qFormat/>
    <w:uiPriority w:val="9"/>
    <w:pPr>
      <w:keepNext/>
      <w:widowControl w:val="0"/>
      <w:numPr>
        <w:ilvl w:val="5"/>
        <w:numId w:val="1"/>
      </w:numPr>
      <w:overflowPunct w:val="0"/>
      <w:adjustRightInd w:val="0"/>
      <w:snapToGrid w:val="0"/>
      <w:spacing w:before="156" w:beforeLines="50" w:after="156" w:afterLines="50" w:line="420" w:lineRule="exact"/>
      <w:outlineLvl w:val="5"/>
    </w:pPr>
    <w:rPr>
      <w:rFonts w:ascii="黑体" w:hAnsi="Times New Roman" w:eastAsia="黑体" w:cstheme="majorBidi"/>
      <w:bCs/>
      <w:kern w:val="2"/>
      <w:sz w:val="28"/>
      <w:szCs w:val="24"/>
      <w:lang w:val="en-US" w:eastAsia="zh-CN" w:bidi="ar-SA"/>
      <w14:ligatures w14:val="standardContextual"/>
    </w:rPr>
  </w:style>
  <w:style w:type="paragraph" w:styleId="14">
    <w:name w:val="heading 7"/>
    <w:next w:val="1"/>
    <w:link w:val="44"/>
    <w:autoRedefine/>
    <w:semiHidden/>
    <w:qFormat/>
    <w:locked/>
    <w:uiPriority w:val="9"/>
    <w:pPr>
      <w:keepNext/>
      <w:keepLines/>
      <w:numPr>
        <w:ilvl w:val="6"/>
        <w:numId w:val="1"/>
      </w:numPr>
      <w:spacing w:line="420" w:lineRule="exact"/>
      <w:jc w:val="both"/>
      <w:outlineLvl w:val="6"/>
    </w:pPr>
    <w:rPr>
      <w:rFonts w:ascii="Times New Roman" w:hAnsi="Times New Roman" w:eastAsia="黑体" w:cstheme="minorBidi"/>
      <w:bCs/>
      <w:kern w:val="2"/>
      <w:sz w:val="28"/>
      <w:szCs w:val="24"/>
      <w:lang w:val="en-US" w:eastAsia="zh-CN" w:bidi="ar-SA"/>
      <w14:ligatures w14:val="standardContextual"/>
    </w:rPr>
  </w:style>
  <w:style w:type="paragraph" w:styleId="15">
    <w:name w:val="heading 8"/>
    <w:basedOn w:val="1"/>
    <w:next w:val="1"/>
    <w:link w:val="62"/>
    <w:autoRedefine/>
    <w:semiHidden/>
    <w:qFormat/>
    <w:locked/>
    <w:uiPriority w:val="9"/>
    <w:pPr>
      <w:keepNext/>
      <w:keepLines/>
      <w:numPr>
        <w:ilvl w:val="7"/>
        <w:numId w:val="1"/>
      </w:numPr>
      <w:jc w:val="left"/>
      <w:outlineLvl w:val="7"/>
    </w:pPr>
    <w:rPr>
      <w:rFonts w:eastAsia="黑体" w:cstheme="majorBidi"/>
      <w:sz w:val="28"/>
      <w:szCs w:val="24"/>
    </w:rPr>
  </w:style>
  <w:style w:type="paragraph" w:styleId="16">
    <w:name w:val="heading 9"/>
    <w:basedOn w:val="1"/>
    <w:next w:val="1"/>
    <w:link w:val="63"/>
    <w:autoRedefine/>
    <w:semiHidden/>
    <w:qFormat/>
    <w:locked/>
    <w:uiPriority w:val="9"/>
    <w:pPr>
      <w:keepNext/>
      <w:keepLines/>
      <w:numPr>
        <w:ilvl w:val="8"/>
        <w:numId w:val="1"/>
      </w:numPr>
      <w:jc w:val="left"/>
      <w:outlineLvl w:val="8"/>
    </w:pPr>
    <w:rPr>
      <w:rFonts w:eastAsia="黑体" w:cstheme="majorBidi"/>
      <w:sz w:val="28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Q标题 1_1 ×××"/>
    <w:next w:val="4"/>
    <w:autoRedefine/>
    <w:semiHidden/>
    <w:qFormat/>
    <w:locked/>
    <w:uiPriority w:val="79"/>
    <w:pPr>
      <w:keepNext/>
      <w:overflowPunct w:val="0"/>
      <w:adjustRightInd w:val="0"/>
      <w:snapToGrid w:val="0"/>
      <w:spacing w:before="156" w:beforeLines="50" w:after="156" w:afterLines="50" w:line="600" w:lineRule="exact"/>
      <w:jc w:val="both"/>
      <w:outlineLvl w:val="0"/>
    </w:pPr>
    <w:rPr>
      <w:rFonts w:ascii="黑体" w:eastAsia="黑体" w:hAnsiTheme="minorHAnsi" w:cstheme="minorBidi"/>
      <w:kern w:val="2"/>
      <w:sz w:val="28"/>
      <w:szCs w:val="21"/>
      <w:lang w:val="en-US" w:eastAsia="zh-CN" w:bidi="ar-SA"/>
      <w14:ligatures w14:val="standardContextual"/>
    </w:rPr>
  </w:style>
  <w:style w:type="paragraph" w:customStyle="1" w:styleId="4">
    <w:name w:val="正文段落"/>
    <w:autoRedefine/>
    <w:qFormat/>
    <w:uiPriority w:val="2"/>
    <w:pPr>
      <w:widowControl w:val="0"/>
      <w:overflowPunct w:val="0"/>
      <w:adjustRightInd w:val="0"/>
      <w:snapToGrid w:val="0"/>
      <w:spacing w:line="420" w:lineRule="exact"/>
      <w:ind w:firstLine="480" w:firstLineChars="200"/>
      <w:jc w:val="both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  <w14:ligatures w14:val="standardContextual"/>
    </w:rPr>
  </w:style>
  <w:style w:type="paragraph" w:customStyle="1" w:styleId="6">
    <w:name w:val="Q标题 2_1.1 ×××"/>
    <w:next w:val="4"/>
    <w:autoRedefine/>
    <w:semiHidden/>
    <w:qFormat/>
    <w:locked/>
    <w:uiPriority w:val="79"/>
    <w:pPr>
      <w:keepNext/>
      <w:widowControl w:val="0"/>
      <w:overflowPunct w:val="0"/>
      <w:adjustRightInd w:val="0"/>
      <w:snapToGrid w:val="0"/>
      <w:spacing w:before="156" w:beforeLines="50" w:after="156" w:afterLines="50" w:line="420" w:lineRule="exact"/>
      <w:jc w:val="both"/>
      <w:outlineLvl w:val="1"/>
    </w:pPr>
    <w:rPr>
      <w:rFonts w:ascii="黑体" w:eastAsia="黑体" w:hAnsiTheme="minorHAnsi" w:cstheme="minorBidi"/>
      <w:kern w:val="2"/>
      <w:sz w:val="28"/>
      <w:szCs w:val="21"/>
      <w:lang w:val="en-US" w:eastAsia="zh-CN" w:bidi="ar-SA"/>
      <w14:ligatures w14:val="standardContextual"/>
    </w:rPr>
  </w:style>
  <w:style w:type="paragraph" w:customStyle="1" w:styleId="8">
    <w:name w:val="Q标题 3_1.1.1 ×××"/>
    <w:next w:val="4"/>
    <w:autoRedefine/>
    <w:semiHidden/>
    <w:qFormat/>
    <w:locked/>
    <w:uiPriority w:val="79"/>
    <w:pPr>
      <w:keepNext/>
      <w:widowControl w:val="0"/>
      <w:overflowPunct w:val="0"/>
      <w:adjustRightInd w:val="0"/>
      <w:snapToGrid w:val="0"/>
      <w:spacing w:before="156" w:beforeLines="50" w:after="156" w:afterLines="50" w:line="420" w:lineRule="exact"/>
      <w:jc w:val="both"/>
      <w:outlineLvl w:val="2"/>
    </w:pPr>
    <w:rPr>
      <w:rFonts w:ascii="黑体" w:eastAsia="黑体" w:hAnsiTheme="minorHAnsi" w:cstheme="minorBidi"/>
      <w:kern w:val="2"/>
      <w:sz w:val="28"/>
      <w:szCs w:val="21"/>
      <w:lang w:val="en-US" w:eastAsia="zh-CN" w:bidi="ar-SA"/>
      <w14:ligatures w14:val="standardContextual"/>
    </w:rPr>
  </w:style>
  <w:style w:type="paragraph" w:customStyle="1" w:styleId="10">
    <w:name w:val="Q标题 4_1.1.1.1 ×××"/>
    <w:next w:val="4"/>
    <w:link w:val="78"/>
    <w:autoRedefine/>
    <w:semiHidden/>
    <w:qFormat/>
    <w:locked/>
    <w:uiPriority w:val="79"/>
    <w:pPr>
      <w:keepNext/>
      <w:widowControl w:val="0"/>
      <w:overflowPunct w:val="0"/>
      <w:adjustRightInd w:val="0"/>
      <w:snapToGrid w:val="0"/>
      <w:spacing w:before="156" w:beforeLines="50" w:after="156" w:afterLines="50" w:line="420" w:lineRule="exact"/>
      <w:jc w:val="both"/>
      <w:outlineLvl w:val="3"/>
    </w:pPr>
    <w:rPr>
      <w:rFonts w:ascii="黑体" w:eastAsia="黑体" w:hAnsiTheme="minorHAnsi" w:cstheme="minorBidi"/>
      <w:kern w:val="2"/>
      <w:sz w:val="28"/>
      <w:szCs w:val="21"/>
      <w:lang w:val="en-US" w:eastAsia="zh-CN" w:bidi="ar-SA"/>
      <w14:ligatures w14:val="standardContextual"/>
    </w:rPr>
  </w:style>
  <w:style w:type="paragraph" w:customStyle="1" w:styleId="12">
    <w:name w:val="Q标题 5_1.1.1.1.1 ×××"/>
    <w:next w:val="4"/>
    <w:link w:val="79"/>
    <w:autoRedefine/>
    <w:semiHidden/>
    <w:qFormat/>
    <w:locked/>
    <w:uiPriority w:val="79"/>
    <w:pPr>
      <w:keepNext/>
      <w:widowControl w:val="0"/>
      <w:overflowPunct w:val="0"/>
      <w:adjustRightInd w:val="0"/>
      <w:snapToGrid w:val="0"/>
      <w:spacing w:before="156" w:beforeLines="50" w:after="156" w:afterLines="50" w:line="420" w:lineRule="exact"/>
      <w:jc w:val="both"/>
      <w:outlineLvl w:val="4"/>
    </w:pPr>
    <w:rPr>
      <w:rFonts w:ascii="黑体" w:eastAsia="黑体" w:hAnsiTheme="minorHAnsi" w:cstheme="minorBidi"/>
      <w:kern w:val="2"/>
      <w:sz w:val="28"/>
      <w:szCs w:val="21"/>
      <w:lang w:val="en-US" w:eastAsia="zh-CN" w:bidi="ar-SA"/>
      <w14:ligatures w14:val="standardContextual"/>
    </w:rPr>
  </w:style>
  <w:style w:type="paragraph" w:styleId="17">
    <w:name w:val="List 3"/>
    <w:basedOn w:val="1"/>
    <w:semiHidden/>
    <w:qFormat/>
    <w:locked/>
    <w:uiPriority w:val="99"/>
    <w:pPr>
      <w:ind w:left="100" w:leftChars="400" w:hanging="200" w:hangingChars="200"/>
      <w:contextualSpacing/>
    </w:pPr>
  </w:style>
  <w:style w:type="paragraph" w:styleId="18">
    <w:name w:val="caption"/>
    <w:next w:val="4"/>
    <w:link w:val="50"/>
    <w:autoRedefine/>
    <w:qFormat/>
    <w:locked/>
    <w:uiPriority w:val="35"/>
    <w:pPr>
      <w:widowControl w:val="0"/>
      <w:overflowPunct w:val="0"/>
      <w:adjustRightInd w:val="0"/>
      <w:snapToGrid w:val="0"/>
      <w:spacing w:before="50" w:beforeLines="50" w:after="50" w:afterLines="50" w:line="420" w:lineRule="exact"/>
      <w:jc w:val="center"/>
    </w:pPr>
    <w:rPr>
      <w:rFonts w:ascii="黑体" w:eastAsia="黑体" w:hAnsiTheme="majorHAnsi" w:cstheme="majorBidi"/>
      <w:kern w:val="2"/>
      <w:sz w:val="21"/>
      <w:lang w:val="en-US" w:eastAsia="zh-CN" w:bidi="ar-SA"/>
      <w14:ligatures w14:val="standardContextual"/>
    </w:rPr>
  </w:style>
  <w:style w:type="paragraph" w:styleId="19">
    <w:name w:val="annotation text"/>
    <w:basedOn w:val="1"/>
    <w:link w:val="94"/>
    <w:semiHidden/>
    <w:qFormat/>
    <w:locked/>
    <w:uiPriority w:val="99"/>
    <w:pPr>
      <w:jc w:val="left"/>
    </w:pPr>
  </w:style>
  <w:style w:type="paragraph" w:styleId="20">
    <w:name w:val="Body Text"/>
    <w:basedOn w:val="1"/>
    <w:link w:val="73"/>
    <w:qFormat/>
    <w:locked/>
    <w:uiPriority w:val="99"/>
    <w:pPr>
      <w:spacing w:after="120"/>
    </w:pPr>
  </w:style>
  <w:style w:type="paragraph" w:styleId="21">
    <w:name w:val="List 2"/>
    <w:basedOn w:val="1"/>
    <w:semiHidden/>
    <w:qFormat/>
    <w:locked/>
    <w:uiPriority w:val="99"/>
    <w:pPr>
      <w:ind w:left="100" w:leftChars="200" w:hanging="200" w:hangingChars="200"/>
      <w:contextualSpacing/>
    </w:pPr>
  </w:style>
  <w:style w:type="paragraph" w:styleId="22">
    <w:name w:val="toc 3"/>
    <w:next w:val="4"/>
    <w:autoRedefine/>
    <w:qFormat/>
    <w:locked/>
    <w:uiPriority w:val="39"/>
    <w:pPr>
      <w:widowControl w:val="0"/>
      <w:tabs>
        <w:tab w:val="left" w:pos="720"/>
        <w:tab w:val="right" w:leader="dot" w:pos="8504"/>
      </w:tabs>
      <w:adjustRightInd w:val="0"/>
      <w:snapToGrid w:val="0"/>
      <w:spacing w:line="420" w:lineRule="exact"/>
      <w:jc w:val="both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  <w14:ligatures w14:val="standardContextual"/>
    </w:rPr>
  </w:style>
  <w:style w:type="paragraph" w:styleId="23">
    <w:name w:val="Balloon Text"/>
    <w:basedOn w:val="1"/>
    <w:link w:val="96"/>
    <w:semiHidden/>
    <w:qFormat/>
    <w:locked/>
    <w:uiPriority w:val="99"/>
    <w:rPr>
      <w:szCs w:val="18"/>
    </w:rPr>
  </w:style>
  <w:style w:type="paragraph" w:styleId="24">
    <w:name w:val="footer"/>
    <w:next w:val="1"/>
    <w:link w:val="54"/>
    <w:autoRedefine/>
    <w:semiHidden/>
    <w:qFormat/>
    <w:locked/>
    <w:uiPriority w:val="99"/>
    <w:pPr>
      <w:widowControl w:val="0"/>
      <w:tabs>
        <w:tab w:val="center" w:pos="4153"/>
        <w:tab w:val="right" w:pos="8306"/>
      </w:tabs>
      <w:overflowPunct w:val="0"/>
      <w:adjustRightInd w:val="0"/>
      <w:snapToGrid w:val="0"/>
      <w:jc w:val="center"/>
    </w:pPr>
    <w:rPr>
      <w:rFonts w:ascii="Times New Roman" w:hAnsi="Times New Roman" w:eastAsia="宋体" w:cstheme="minorBidi"/>
      <w:kern w:val="2"/>
      <w:sz w:val="21"/>
      <w:szCs w:val="18"/>
      <w:lang w:val="en-US" w:eastAsia="zh-CN" w:bidi="ar-SA"/>
      <w14:ligatures w14:val="standardContextual"/>
    </w:rPr>
  </w:style>
  <w:style w:type="paragraph" w:styleId="25">
    <w:name w:val="header"/>
    <w:basedOn w:val="1"/>
    <w:link w:val="53"/>
    <w:semiHidden/>
    <w:qFormat/>
    <w:locked/>
    <w:uiPriority w:val="99"/>
    <w:pP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26">
    <w:name w:val="toc 1"/>
    <w:next w:val="4"/>
    <w:autoRedefine/>
    <w:qFormat/>
    <w:locked/>
    <w:uiPriority w:val="39"/>
    <w:pPr>
      <w:widowControl w:val="0"/>
      <w:tabs>
        <w:tab w:val="left" w:pos="360"/>
        <w:tab w:val="right" w:leader="dot" w:pos="8504"/>
      </w:tabs>
      <w:adjustRightInd w:val="0"/>
      <w:snapToGrid w:val="0"/>
      <w:spacing w:line="420" w:lineRule="exact"/>
      <w:jc w:val="both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  <w14:ligatures w14:val="standardContextual"/>
    </w:rPr>
  </w:style>
  <w:style w:type="paragraph" w:styleId="27">
    <w:name w:val="toc 4"/>
    <w:basedOn w:val="1"/>
    <w:next w:val="1"/>
    <w:autoRedefine/>
    <w:semiHidden/>
    <w:qFormat/>
    <w:locked/>
    <w:uiPriority w:val="79"/>
    <w:pPr>
      <w:ind w:left="1260" w:leftChars="600"/>
    </w:pPr>
  </w:style>
  <w:style w:type="paragraph" w:styleId="28">
    <w:name w:val="Subtitle"/>
    <w:basedOn w:val="1"/>
    <w:next w:val="1"/>
    <w:link w:val="57"/>
    <w:semiHidden/>
    <w:qFormat/>
    <w:locked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29">
    <w:name w:val="List"/>
    <w:basedOn w:val="1"/>
    <w:semiHidden/>
    <w:qFormat/>
    <w:locked/>
    <w:uiPriority w:val="99"/>
    <w:pPr>
      <w:ind w:left="200" w:hanging="200" w:hangingChars="200"/>
      <w:contextualSpacing/>
    </w:pPr>
  </w:style>
  <w:style w:type="paragraph" w:styleId="30">
    <w:name w:val="toc 2"/>
    <w:next w:val="4"/>
    <w:autoRedefine/>
    <w:qFormat/>
    <w:locked/>
    <w:uiPriority w:val="39"/>
    <w:pPr>
      <w:widowControl w:val="0"/>
      <w:tabs>
        <w:tab w:val="left" w:pos="540"/>
        <w:tab w:val="right" w:leader="dot" w:pos="8504"/>
      </w:tabs>
      <w:overflowPunct w:val="0"/>
      <w:adjustRightInd w:val="0"/>
      <w:snapToGrid w:val="0"/>
      <w:spacing w:line="420" w:lineRule="exact"/>
      <w:jc w:val="both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  <w14:ligatures w14:val="standardContextual"/>
    </w:rPr>
  </w:style>
  <w:style w:type="paragraph" w:styleId="31">
    <w:name w:val="annotation subject"/>
    <w:basedOn w:val="19"/>
    <w:next w:val="19"/>
    <w:link w:val="95"/>
    <w:semiHidden/>
    <w:qFormat/>
    <w:locked/>
    <w:uiPriority w:val="99"/>
    <w:rPr>
      <w:b/>
      <w:bCs/>
    </w:rPr>
  </w:style>
  <w:style w:type="table" w:styleId="33">
    <w:name w:val="Table Grid"/>
    <w:basedOn w:val="32"/>
    <w:qFormat/>
    <w:locked/>
    <w:uiPriority w:val="39"/>
    <w:pPr>
      <w:widowControl w:val="0"/>
      <w:overflowPunct w:val="0"/>
      <w:adjustRightInd w:val="0"/>
      <w:snapToGrid w:val="0"/>
      <w:jc w:val="center"/>
    </w:pPr>
    <w:rPr>
      <w:sz w:val="18"/>
    </w:rPr>
    <w:tblPr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eastAsia="宋体"/>
        <w:sz w:val="18"/>
      </w:rPr>
      <w:tblPr/>
      <w:trPr>
        <w:tblHeader/>
      </w:trPr>
      <w:tcPr>
        <w:tc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il"/>
          <w:insideV w:val="single" w:sz="6" w:space="0"/>
          <w:tl2br w:val="nil"/>
          <w:tr2bl w:val="nil"/>
        </w:tcBorders>
        <w:noWrap/>
      </w:tcPr>
    </w:tblStylePr>
  </w:style>
  <w:style w:type="character" w:styleId="35">
    <w:name w:val="Strong"/>
    <w:basedOn w:val="34"/>
    <w:semiHidden/>
    <w:qFormat/>
    <w:locked/>
    <w:uiPriority w:val="22"/>
    <w:rPr>
      <w:b/>
      <w:bCs/>
    </w:rPr>
  </w:style>
  <w:style w:type="character" w:styleId="36">
    <w:name w:val="Hyperlink"/>
    <w:basedOn w:val="34"/>
    <w:qFormat/>
    <w:locked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37">
    <w:name w:val="annotation reference"/>
    <w:basedOn w:val="34"/>
    <w:semiHidden/>
    <w:qFormat/>
    <w:locked/>
    <w:uiPriority w:val="99"/>
    <w:rPr>
      <w:sz w:val="21"/>
      <w:szCs w:val="21"/>
    </w:rPr>
  </w:style>
  <w:style w:type="character" w:customStyle="1" w:styleId="38">
    <w:name w:val="标题 3 字符"/>
    <w:basedOn w:val="34"/>
    <w:link w:val="7"/>
    <w:qFormat/>
    <w:uiPriority w:val="9"/>
    <w:rPr>
      <w:rFonts w:ascii="黑体" w:eastAsia="黑体" w:hAnsiTheme="minorHAnsi" w:cstheme="minorBidi"/>
      <w:kern w:val="2"/>
      <w:sz w:val="28"/>
      <w:szCs w:val="21"/>
      <w14:ligatures w14:val="standardContextual"/>
    </w:rPr>
  </w:style>
  <w:style w:type="character" w:customStyle="1" w:styleId="39">
    <w:name w:val="标题 1 字符"/>
    <w:basedOn w:val="34"/>
    <w:link w:val="2"/>
    <w:qFormat/>
    <w:uiPriority w:val="9"/>
    <w:rPr>
      <w:rFonts w:ascii="黑体" w:eastAsia="黑体"/>
      <w:sz w:val="28"/>
    </w:rPr>
  </w:style>
  <w:style w:type="character" w:customStyle="1" w:styleId="40">
    <w:name w:val="标题 2 字符"/>
    <w:basedOn w:val="34"/>
    <w:link w:val="5"/>
    <w:qFormat/>
    <w:uiPriority w:val="0"/>
    <w:rPr>
      <w:rFonts w:ascii="黑体" w:eastAsia="黑体"/>
      <w:sz w:val="28"/>
    </w:rPr>
  </w:style>
  <w:style w:type="character" w:customStyle="1" w:styleId="41">
    <w:name w:val="标题 4 字符"/>
    <w:basedOn w:val="34"/>
    <w:link w:val="9"/>
    <w:qFormat/>
    <w:uiPriority w:val="9"/>
    <w:rPr>
      <w:rFonts w:ascii="黑体" w:eastAsia="黑体" w:hAnsiTheme="minorHAnsi" w:cstheme="minorBidi"/>
      <w:kern w:val="2"/>
      <w:sz w:val="28"/>
      <w:szCs w:val="21"/>
      <w14:ligatures w14:val="standardContextual"/>
    </w:rPr>
  </w:style>
  <w:style w:type="character" w:customStyle="1" w:styleId="42">
    <w:name w:val="标题 5 字符"/>
    <w:basedOn w:val="34"/>
    <w:link w:val="11"/>
    <w:qFormat/>
    <w:uiPriority w:val="0"/>
    <w:rPr>
      <w:rFonts w:ascii="黑体" w:eastAsia="黑体"/>
      <w:sz w:val="28"/>
    </w:rPr>
  </w:style>
  <w:style w:type="character" w:customStyle="1" w:styleId="43">
    <w:name w:val="标题 6 字符"/>
    <w:basedOn w:val="34"/>
    <w:link w:val="13"/>
    <w:qFormat/>
    <w:uiPriority w:val="0"/>
    <w:rPr>
      <w:rFonts w:ascii="黑体" w:hAnsi="Times New Roman" w:eastAsia="黑体" w:cstheme="majorBidi"/>
      <w:bCs/>
      <w:sz w:val="28"/>
      <w:szCs w:val="24"/>
    </w:rPr>
  </w:style>
  <w:style w:type="character" w:customStyle="1" w:styleId="44">
    <w:name w:val="标题 7 字符"/>
    <w:basedOn w:val="34"/>
    <w:link w:val="14"/>
    <w:semiHidden/>
    <w:qFormat/>
    <w:uiPriority w:val="9"/>
    <w:rPr>
      <w:rFonts w:ascii="Times New Roman" w:hAnsi="Times New Roman" w:eastAsia="黑体"/>
      <w:bCs/>
      <w:sz w:val="28"/>
      <w:szCs w:val="24"/>
    </w:rPr>
  </w:style>
  <w:style w:type="paragraph" w:customStyle="1" w:styleId="45">
    <w:name w:val="封面文本"/>
    <w:basedOn w:val="46"/>
    <w:link w:val="47"/>
    <w:autoRedefine/>
    <w:semiHidden/>
    <w:qFormat/>
    <w:locked/>
    <w:uiPriority w:val="79"/>
    <w:pPr>
      <w:tabs>
        <w:tab w:val="left" w:pos="312"/>
      </w:tabs>
    </w:pPr>
    <w:rPr>
      <w:sz w:val="28"/>
    </w:rPr>
  </w:style>
  <w:style w:type="paragraph" w:customStyle="1" w:styleId="46">
    <w:name w:val="表格内文"/>
    <w:link w:val="48"/>
    <w:autoRedefine/>
    <w:semiHidden/>
    <w:qFormat/>
    <w:locked/>
    <w:uiPriority w:val="79"/>
    <w:pPr>
      <w:tabs>
        <w:tab w:val="left" w:pos="312"/>
      </w:tabs>
      <w:jc w:val="center"/>
    </w:pPr>
    <w:rPr>
      <w:rFonts w:ascii="Times New Roman" w:hAnsi="Times New Roman" w:eastAsia="宋体" w:cs="宋体"/>
      <w:kern w:val="2"/>
      <w:sz w:val="21"/>
      <w:szCs w:val="21"/>
      <w:lang w:val="en-US" w:eastAsia="zh-CN" w:bidi="ar-SA"/>
    </w:rPr>
  </w:style>
  <w:style w:type="character" w:customStyle="1" w:styleId="47">
    <w:name w:val="封面文本 字符"/>
    <w:basedOn w:val="48"/>
    <w:link w:val="45"/>
    <w:semiHidden/>
    <w:qFormat/>
    <w:uiPriority w:val="79"/>
    <w:rPr>
      <w:rFonts w:ascii="Times New Roman" w:hAnsi="Times New Roman" w:eastAsia="宋体" w:cs="宋体"/>
      <w:kern w:val="2"/>
      <w:sz w:val="28"/>
      <w:szCs w:val="21"/>
      <w14:ligatures w14:val="none"/>
    </w:rPr>
  </w:style>
  <w:style w:type="character" w:customStyle="1" w:styleId="48">
    <w:name w:val="表格内文 字符"/>
    <w:basedOn w:val="34"/>
    <w:link w:val="46"/>
    <w:semiHidden/>
    <w:qFormat/>
    <w:uiPriority w:val="79"/>
    <w:rPr>
      <w:rFonts w:cs="宋体"/>
      <w:kern w:val="2"/>
      <w:sz w:val="21"/>
      <w:szCs w:val="21"/>
    </w:rPr>
  </w:style>
  <w:style w:type="paragraph" w:customStyle="1" w:styleId="49">
    <w:name w:val="图表题"/>
    <w:basedOn w:val="18"/>
    <w:next w:val="1"/>
    <w:link w:val="51"/>
    <w:autoRedefine/>
    <w:semiHidden/>
    <w:qFormat/>
    <w:locked/>
    <w:uiPriority w:val="9"/>
    <w:pPr>
      <w:spacing w:line="360" w:lineRule="auto"/>
    </w:pPr>
    <w:rPr>
      <w:rFonts w:hAnsi="黑体"/>
      <w:szCs w:val="21"/>
    </w:rPr>
  </w:style>
  <w:style w:type="character" w:customStyle="1" w:styleId="50">
    <w:name w:val="题注 字符"/>
    <w:basedOn w:val="34"/>
    <w:link w:val="18"/>
    <w:qFormat/>
    <w:uiPriority w:val="35"/>
    <w:rPr>
      <w:rFonts w:ascii="黑体" w:eastAsia="黑体" w:hAnsiTheme="majorHAnsi" w:cstheme="majorBidi"/>
      <w:szCs w:val="20"/>
    </w:rPr>
  </w:style>
  <w:style w:type="character" w:customStyle="1" w:styleId="51">
    <w:name w:val="图表题 字符"/>
    <w:basedOn w:val="50"/>
    <w:link w:val="49"/>
    <w:semiHidden/>
    <w:qFormat/>
    <w:uiPriority w:val="9"/>
    <w:rPr>
      <w:rFonts w:ascii="黑体" w:hAnsi="黑体" w:eastAsia="黑体" w:cstheme="majorBidi"/>
      <w:szCs w:val="20"/>
    </w:rPr>
  </w:style>
  <w:style w:type="paragraph" w:customStyle="1" w:styleId="52">
    <w:name w:val="TOC 标题1"/>
    <w:basedOn w:val="2"/>
    <w:next w:val="1"/>
    <w:semiHidden/>
    <w:qFormat/>
    <w:locked/>
    <w:uiPriority w:val="79"/>
    <w:pPr>
      <w:spacing w:before="240" w:line="259" w:lineRule="auto"/>
      <w:outlineLvl w:val="9"/>
    </w:pPr>
    <w:rPr>
      <w:rFonts w:asciiTheme="majorHAnsi" w:hAnsiTheme="majorHAnsi" w:eastAsiaTheme="majorEastAsia" w:cstheme="majorBidi"/>
      <w:b/>
      <w:bCs/>
      <w:color w:val="104862" w:themeColor="accent1" w:themeShade="BF"/>
      <w:kern w:val="0"/>
      <w:sz w:val="32"/>
      <w:szCs w:val="32"/>
      <w14:ligatures w14:val="none"/>
    </w:rPr>
  </w:style>
  <w:style w:type="character" w:customStyle="1" w:styleId="53">
    <w:name w:val="页眉 字符"/>
    <w:basedOn w:val="34"/>
    <w:link w:val="25"/>
    <w:semiHidden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54">
    <w:name w:val="页脚 字符"/>
    <w:basedOn w:val="34"/>
    <w:link w:val="24"/>
    <w:semiHidden/>
    <w:qFormat/>
    <w:uiPriority w:val="99"/>
    <w:rPr>
      <w:rFonts w:ascii="Times New Roman" w:hAnsi="Times New Roman" w:eastAsia="宋体"/>
      <w:szCs w:val="18"/>
    </w:rPr>
  </w:style>
  <w:style w:type="paragraph" w:customStyle="1" w:styleId="55">
    <w:name w:val="表列头"/>
    <w:next w:val="1"/>
    <w:link w:val="56"/>
    <w:autoRedefine/>
    <w:semiHidden/>
    <w:qFormat/>
    <w:locked/>
    <w:uiPriority w:val="79"/>
    <w:pPr>
      <w:jc w:val="center"/>
    </w:pPr>
    <w:rPr>
      <w:rFonts w:ascii="Times New Roman" w:hAnsi="Times New Roman" w:eastAsia="黑体" w:cs="宋体"/>
      <w:bCs/>
      <w:sz w:val="21"/>
      <w:szCs w:val="21"/>
      <w:lang w:val="en-US" w:eastAsia="zh-CN" w:bidi="ar-SA"/>
    </w:rPr>
  </w:style>
  <w:style w:type="character" w:customStyle="1" w:styleId="56">
    <w:name w:val="表列头 字符"/>
    <w:basedOn w:val="34"/>
    <w:link w:val="55"/>
    <w:semiHidden/>
    <w:qFormat/>
    <w:uiPriority w:val="79"/>
    <w:rPr>
      <w:rFonts w:ascii="Times New Roman" w:hAnsi="Times New Roman" w:eastAsia="黑体" w:cs="宋体"/>
      <w:bCs/>
      <w:kern w:val="0"/>
      <w14:ligatures w14:val="none"/>
    </w:rPr>
  </w:style>
  <w:style w:type="character" w:customStyle="1" w:styleId="57">
    <w:name w:val="副标题 字符"/>
    <w:basedOn w:val="34"/>
    <w:link w:val="28"/>
    <w:semiHidden/>
    <w:qFormat/>
    <w:uiPriority w:val="11"/>
    <w:rPr>
      <w:rFonts w:ascii="Times New Roman" w:hAnsi="Times New Roman" w:eastAsia="宋体"/>
      <w:b/>
      <w:bCs/>
      <w:kern w:val="28"/>
      <w:sz w:val="32"/>
      <w:szCs w:val="32"/>
    </w:rPr>
  </w:style>
  <w:style w:type="paragraph" w:customStyle="1" w:styleId="58">
    <w:name w:val="列项 1_a)，b)，c)"/>
    <w:basedOn w:val="29"/>
    <w:link w:val="59"/>
    <w:autoRedefine/>
    <w:qFormat/>
    <w:uiPriority w:val="1"/>
    <w:pPr>
      <w:tabs>
        <w:tab w:val="left" w:pos="840"/>
      </w:tabs>
      <w:adjustRightInd w:val="0"/>
      <w:snapToGrid w:val="0"/>
      <w:spacing w:line="420" w:lineRule="exact"/>
      <w:ind w:left="737" w:firstLine="0" w:firstLineChars="0"/>
      <w:contextualSpacing w:val="0"/>
    </w:pPr>
    <w:rPr>
      <w:sz w:val="24"/>
    </w:rPr>
  </w:style>
  <w:style w:type="character" w:customStyle="1" w:styleId="59">
    <w:name w:val="列项 1_a)，b)，c) 字符"/>
    <w:basedOn w:val="34"/>
    <w:link w:val="58"/>
    <w:qFormat/>
    <w:uiPriority w:val="1"/>
    <w:rPr>
      <w:rFonts w:ascii="Times New Roman" w:hAnsi="Times New Roman" w:eastAsia="宋体"/>
      <w:sz w:val="24"/>
    </w:rPr>
  </w:style>
  <w:style w:type="paragraph" w:customStyle="1" w:styleId="60">
    <w:name w:val="列项 2_1)，2)，3)"/>
    <w:basedOn w:val="21"/>
    <w:link w:val="61"/>
    <w:autoRedefine/>
    <w:qFormat/>
    <w:uiPriority w:val="1"/>
    <w:pPr>
      <w:numPr>
        <w:ilvl w:val="0"/>
        <w:numId w:val="2"/>
      </w:numPr>
      <w:overflowPunct w:val="0"/>
      <w:adjustRightInd w:val="0"/>
      <w:snapToGrid w:val="0"/>
      <w:spacing w:line="420" w:lineRule="exact"/>
      <w:ind w:left="0" w:leftChars="0" w:firstLine="0" w:firstLineChars="0"/>
      <w:contextualSpacing w:val="0"/>
    </w:pPr>
    <w:rPr>
      <w:sz w:val="24"/>
    </w:rPr>
  </w:style>
  <w:style w:type="character" w:customStyle="1" w:styleId="61">
    <w:name w:val="列项 2_1)，2)，3) 字符"/>
    <w:basedOn w:val="34"/>
    <w:link w:val="60"/>
    <w:qFormat/>
    <w:uiPriority w:val="1"/>
    <w:rPr>
      <w:rFonts w:ascii="Times New Roman" w:hAnsi="Times New Roman" w:eastAsia="宋体"/>
      <w:sz w:val="24"/>
    </w:rPr>
  </w:style>
  <w:style w:type="character" w:customStyle="1" w:styleId="62">
    <w:name w:val="标题 8 字符"/>
    <w:basedOn w:val="34"/>
    <w:link w:val="15"/>
    <w:semiHidden/>
    <w:qFormat/>
    <w:uiPriority w:val="9"/>
    <w:rPr>
      <w:rFonts w:ascii="Times New Roman" w:hAnsi="Times New Roman" w:eastAsia="黑体" w:cstheme="majorBidi"/>
      <w:sz w:val="28"/>
      <w:szCs w:val="24"/>
    </w:rPr>
  </w:style>
  <w:style w:type="character" w:customStyle="1" w:styleId="63">
    <w:name w:val="标题 9 字符"/>
    <w:basedOn w:val="34"/>
    <w:link w:val="16"/>
    <w:semiHidden/>
    <w:qFormat/>
    <w:uiPriority w:val="9"/>
    <w:rPr>
      <w:rFonts w:ascii="Times New Roman" w:hAnsi="Times New Roman" w:eastAsia="黑体" w:cstheme="majorBidi"/>
      <w:sz w:val="28"/>
    </w:rPr>
  </w:style>
  <w:style w:type="paragraph" w:customStyle="1" w:styleId="64">
    <w:name w:val="文档标题"/>
    <w:basedOn w:val="46"/>
    <w:link w:val="65"/>
    <w:semiHidden/>
    <w:qFormat/>
    <w:locked/>
    <w:uiPriority w:val="8"/>
    <w:rPr>
      <w:sz w:val="44"/>
    </w:rPr>
  </w:style>
  <w:style w:type="character" w:customStyle="1" w:styleId="65">
    <w:name w:val="文档标题 字符"/>
    <w:basedOn w:val="48"/>
    <w:link w:val="64"/>
    <w:semiHidden/>
    <w:qFormat/>
    <w:uiPriority w:val="8"/>
    <w:rPr>
      <w:rFonts w:ascii="Times New Roman" w:hAnsi="Times New Roman" w:eastAsia="宋体" w:cs="宋体"/>
      <w:kern w:val="2"/>
      <w:sz w:val="44"/>
      <w:szCs w:val="21"/>
      <w14:ligatures w14:val="none"/>
    </w:rPr>
  </w:style>
  <w:style w:type="paragraph" w:customStyle="1" w:styleId="66">
    <w:name w:val="上标"/>
    <w:basedOn w:val="49"/>
    <w:link w:val="67"/>
    <w:semiHidden/>
    <w:qFormat/>
    <w:locked/>
    <w:uiPriority w:val="79"/>
    <w:rPr>
      <w:vertAlign w:val="superscript"/>
    </w:rPr>
  </w:style>
  <w:style w:type="character" w:customStyle="1" w:styleId="67">
    <w:name w:val="上标 字符"/>
    <w:basedOn w:val="51"/>
    <w:link w:val="66"/>
    <w:semiHidden/>
    <w:qFormat/>
    <w:uiPriority w:val="79"/>
    <w:rPr>
      <w:rFonts w:ascii="黑体" w:hAnsi="黑体" w:eastAsia="黑体" w:cstheme="majorBidi"/>
      <w:szCs w:val="20"/>
      <w:vertAlign w:val="superscript"/>
    </w:rPr>
  </w:style>
  <w:style w:type="paragraph" w:customStyle="1" w:styleId="68">
    <w:name w:val="封面标题"/>
    <w:link w:val="69"/>
    <w:autoRedefine/>
    <w:semiHidden/>
    <w:qFormat/>
    <w:locked/>
    <w:uiPriority w:val="79"/>
    <w:pPr>
      <w:jc w:val="both"/>
    </w:pPr>
    <w:rPr>
      <w:rFonts w:ascii="Times New Roman" w:hAnsi="Times New Roman" w:eastAsia="黑体" w:cs="宋体"/>
      <w:kern w:val="2"/>
      <w:sz w:val="44"/>
      <w:szCs w:val="21"/>
      <w:lang w:val="en-US" w:eastAsia="zh-CN" w:bidi="ar-SA"/>
    </w:rPr>
  </w:style>
  <w:style w:type="character" w:customStyle="1" w:styleId="69">
    <w:name w:val="封面标题 字符"/>
    <w:basedOn w:val="65"/>
    <w:link w:val="68"/>
    <w:semiHidden/>
    <w:qFormat/>
    <w:uiPriority w:val="79"/>
    <w:rPr>
      <w:rFonts w:ascii="Times New Roman" w:hAnsi="Times New Roman" w:eastAsia="黑体" w:cs="宋体"/>
      <w:kern w:val="2"/>
      <w:sz w:val="44"/>
      <w:szCs w:val="21"/>
      <w14:ligatures w14:val="none"/>
    </w:rPr>
  </w:style>
  <w:style w:type="paragraph" w:styleId="70">
    <w:name w:val="List Paragraph"/>
    <w:basedOn w:val="1"/>
    <w:link w:val="97"/>
    <w:qFormat/>
    <w:locked/>
    <w:uiPriority w:val="1"/>
    <w:pPr>
      <w:ind w:firstLine="420"/>
    </w:pPr>
  </w:style>
  <w:style w:type="paragraph" w:customStyle="1" w:styleId="71">
    <w:name w:val="列项 3_●，●，●"/>
    <w:basedOn w:val="17"/>
    <w:autoRedefine/>
    <w:qFormat/>
    <w:uiPriority w:val="1"/>
    <w:pPr>
      <w:numPr>
        <w:ilvl w:val="0"/>
        <w:numId w:val="3"/>
      </w:numPr>
      <w:tabs>
        <w:tab w:val="left" w:pos="1260"/>
        <w:tab w:val="clear" w:pos="1021"/>
      </w:tabs>
      <w:overflowPunct w:val="0"/>
      <w:adjustRightInd w:val="0"/>
      <w:snapToGrid w:val="0"/>
      <w:spacing w:line="420" w:lineRule="exact"/>
      <w:ind w:left="800" w:leftChars="600" w:hanging="200"/>
      <w:contextualSpacing w:val="0"/>
    </w:pPr>
    <w:rPr>
      <w:sz w:val="24"/>
    </w:rPr>
  </w:style>
  <w:style w:type="paragraph" w:customStyle="1" w:styleId="72">
    <w:name w:val="图片"/>
    <w:basedOn w:val="20"/>
    <w:autoRedefine/>
    <w:qFormat/>
    <w:uiPriority w:val="3"/>
    <w:pPr>
      <w:keepNext/>
      <w:overflowPunct w:val="0"/>
      <w:adjustRightInd w:val="0"/>
      <w:snapToGrid w:val="0"/>
      <w:spacing w:before="156" w:beforeLines="50" w:after="156" w:afterLines="50"/>
      <w:jc w:val="center"/>
    </w:pPr>
    <w:rPr>
      <w:sz w:val="24"/>
    </w:rPr>
  </w:style>
  <w:style w:type="character" w:customStyle="1" w:styleId="73">
    <w:name w:val="正文文本 字符"/>
    <w:basedOn w:val="34"/>
    <w:link w:val="20"/>
    <w:semiHidden/>
    <w:qFormat/>
    <w:uiPriority w:val="99"/>
    <w:rPr>
      <w:rFonts w:ascii="Times New Roman" w:hAnsi="Times New Roman" w:eastAsia="宋体"/>
      <w:sz w:val="18"/>
    </w:rPr>
  </w:style>
  <w:style w:type="paragraph" w:customStyle="1" w:styleId="74">
    <w:name w:val="附录图题"/>
    <w:next w:val="4"/>
    <w:link w:val="75"/>
    <w:autoRedefine/>
    <w:qFormat/>
    <w:uiPriority w:val="5"/>
    <w:pPr>
      <w:numPr>
        <w:ilvl w:val="5"/>
        <w:numId w:val="4"/>
      </w:numPr>
      <w:overflowPunct w:val="0"/>
      <w:adjustRightInd w:val="0"/>
      <w:snapToGrid w:val="0"/>
      <w:spacing w:before="156" w:beforeLines="50" w:after="156" w:afterLines="50" w:line="420" w:lineRule="exact"/>
      <w:jc w:val="center"/>
    </w:pPr>
    <w:rPr>
      <w:rFonts w:ascii="黑体" w:hAnsi="黑体" w:eastAsia="黑体" w:cstheme="majorBidi"/>
      <w:kern w:val="2"/>
      <w:sz w:val="21"/>
      <w:szCs w:val="21"/>
      <w:lang w:val="en-US" w:eastAsia="zh-CN" w:bidi="ar-SA"/>
      <w14:ligatures w14:val="standardContextual"/>
    </w:rPr>
  </w:style>
  <w:style w:type="character" w:customStyle="1" w:styleId="75">
    <w:name w:val="附录图题 字符"/>
    <w:basedOn w:val="34"/>
    <w:link w:val="74"/>
    <w:qFormat/>
    <w:uiPriority w:val="5"/>
    <w:rPr>
      <w:rFonts w:ascii="黑体" w:hAnsi="黑体" w:eastAsia="黑体" w:cstheme="majorBidi"/>
    </w:rPr>
  </w:style>
  <w:style w:type="paragraph" w:customStyle="1" w:styleId="76">
    <w:name w:val="附录表题"/>
    <w:next w:val="4"/>
    <w:link w:val="77"/>
    <w:autoRedefine/>
    <w:qFormat/>
    <w:uiPriority w:val="5"/>
    <w:pPr>
      <w:keepNext/>
      <w:widowControl w:val="0"/>
      <w:numPr>
        <w:ilvl w:val="4"/>
        <w:numId w:val="4"/>
      </w:numPr>
      <w:overflowPunct w:val="0"/>
      <w:adjustRightInd w:val="0"/>
      <w:snapToGrid w:val="0"/>
      <w:spacing w:before="50" w:beforeLines="50" w:after="50" w:afterLines="50" w:line="420" w:lineRule="exact"/>
      <w:jc w:val="center"/>
    </w:pPr>
    <w:rPr>
      <w:rFonts w:ascii="黑体" w:hAnsi="Times New Roman" w:eastAsia="黑体" w:cstheme="minorBidi"/>
      <w:kern w:val="2"/>
      <w:sz w:val="21"/>
      <w:szCs w:val="21"/>
      <w:lang w:val="en-US" w:eastAsia="zh-CN" w:bidi="ar-SA"/>
      <w14:ligatures w14:val="standardContextual"/>
    </w:rPr>
  </w:style>
  <w:style w:type="character" w:customStyle="1" w:styleId="77">
    <w:name w:val="附录表题 字符"/>
    <w:basedOn w:val="34"/>
    <w:link w:val="76"/>
    <w:qFormat/>
    <w:uiPriority w:val="5"/>
    <w:rPr>
      <w:rFonts w:ascii="黑体" w:hAnsi="Times New Roman" w:eastAsia="黑体"/>
    </w:rPr>
  </w:style>
  <w:style w:type="character" w:customStyle="1" w:styleId="78">
    <w:name w:val="Q标题 4_1.1.1.1 ××× 字符"/>
    <w:basedOn w:val="34"/>
    <w:link w:val="10"/>
    <w:semiHidden/>
    <w:qFormat/>
    <w:uiPriority w:val="79"/>
    <w:rPr>
      <w:rFonts w:ascii="黑体" w:eastAsia="黑体"/>
      <w:sz w:val="28"/>
    </w:rPr>
  </w:style>
  <w:style w:type="character" w:customStyle="1" w:styleId="79">
    <w:name w:val="Q标题 5_1.1.1.1.1 ××× 字符"/>
    <w:basedOn w:val="34"/>
    <w:link w:val="12"/>
    <w:semiHidden/>
    <w:qFormat/>
    <w:uiPriority w:val="79"/>
    <w:rPr>
      <w:rFonts w:ascii="黑体" w:eastAsia="黑体"/>
      <w:sz w:val="28"/>
    </w:rPr>
  </w:style>
  <w:style w:type="paragraph" w:customStyle="1" w:styleId="80">
    <w:name w:val="表中序号"/>
    <w:autoRedefine/>
    <w:qFormat/>
    <w:uiPriority w:val="4"/>
    <w:pPr>
      <w:widowControl w:val="0"/>
      <w:numPr>
        <w:ilvl w:val="0"/>
        <w:numId w:val="5"/>
      </w:numPr>
      <w:overflowPunct w:val="0"/>
      <w:adjustRightInd w:val="0"/>
      <w:snapToGrid w:val="0"/>
      <w:ind w:firstLine="420"/>
      <w:jc w:val="center"/>
    </w:pPr>
    <w:rPr>
      <w:rFonts w:ascii="Times New Roman" w:hAnsi="Times New Roman" w:eastAsia="宋体" w:cs="Times New Roman"/>
      <w:sz w:val="18"/>
      <w:szCs w:val="24"/>
      <w:lang w:val="en-US" w:eastAsia="zh-CN" w:bidi="ar-SA"/>
      <w14:ligatures w14:val="standardContextual"/>
    </w:rPr>
  </w:style>
  <w:style w:type="paragraph" w:customStyle="1" w:styleId="81">
    <w:name w:val="表中文字居中"/>
    <w:autoRedefine/>
    <w:qFormat/>
    <w:uiPriority w:val="4"/>
    <w:pPr>
      <w:widowControl w:val="0"/>
      <w:overflowPunct w:val="0"/>
      <w:adjustRightInd w:val="0"/>
      <w:snapToGrid w:val="0"/>
      <w:jc w:val="center"/>
    </w:pPr>
    <w:rPr>
      <w:rFonts w:ascii="Times New Roman" w:hAnsi="Times New Roman" w:eastAsia="宋体" w:cstheme="minorBidi"/>
      <w:kern w:val="2"/>
      <w:sz w:val="18"/>
      <w:szCs w:val="21"/>
      <w:lang w:val="en-US" w:eastAsia="zh-CN" w:bidi="ar-SA"/>
      <w14:ligatures w14:val="standardContextual"/>
    </w:rPr>
  </w:style>
  <w:style w:type="paragraph" w:customStyle="1" w:styleId="82">
    <w:name w:val="表中文字两端对齐"/>
    <w:autoRedefine/>
    <w:qFormat/>
    <w:uiPriority w:val="4"/>
    <w:pPr>
      <w:widowControl w:val="0"/>
      <w:overflowPunct w:val="0"/>
      <w:jc w:val="both"/>
    </w:pPr>
    <w:rPr>
      <w:rFonts w:ascii="Times New Roman" w:hAnsi="Times New Roman" w:eastAsia="宋体" w:cstheme="minorBidi"/>
      <w:kern w:val="2"/>
      <w:sz w:val="18"/>
      <w:szCs w:val="21"/>
      <w:lang w:val="en-US" w:eastAsia="zh-CN" w:bidi="ar-SA"/>
      <w14:ligatures w14:val="standardContextual"/>
    </w:rPr>
  </w:style>
  <w:style w:type="table" w:customStyle="1" w:styleId="83">
    <w:name w:val="Q表格"/>
    <w:basedOn w:val="32"/>
    <w:qFormat/>
    <w:locked/>
    <w:uiPriority w:val="99"/>
    <w:pPr>
      <w:widowControl w:val="0"/>
      <w:adjustRightInd w:val="0"/>
      <w:snapToGrid w:val="0"/>
      <w:jc w:val="center"/>
    </w:pPr>
    <w:rPr>
      <w:sz w:val="18"/>
    </w:r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  <w:tcPr>
      <w:vAlign w:val="center"/>
    </w:tcPr>
    <w:tblStylePr w:type="firstRow">
      <w:pPr>
        <w:jc w:val="center"/>
      </w:pPr>
      <w:rPr>
        <w:rFonts w:ascii="Times New Roman" w:hAnsi="Times New Roman" w:eastAsia="宋体"/>
        <w:sz w:val="18"/>
      </w:rPr>
      <w:tcPr>
        <w:tc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sz="6" w:space="0"/>
          <w:insideV w:val="single" w:sz="6" w:space="0"/>
          <w:tl2br w:val="nil"/>
          <w:tr2bl w:val="nil"/>
        </w:tcBorders>
      </w:tcPr>
    </w:tblStylePr>
  </w:style>
  <w:style w:type="paragraph" w:customStyle="1" w:styleId="84">
    <w:name w:val="表题注"/>
    <w:basedOn w:val="18"/>
    <w:autoRedefine/>
    <w:qFormat/>
    <w:uiPriority w:val="4"/>
    <w:pPr>
      <w:keepNext/>
      <w:spacing w:before="156" w:after="156"/>
    </w:pPr>
  </w:style>
  <w:style w:type="paragraph" w:customStyle="1" w:styleId="85">
    <w:name w:val="图题注"/>
    <w:basedOn w:val="18"/>
    <w:next w:val="4"/>
    <w:autoRedefine/>
    <w:qFormat/>
    <w:uiPriority w:val="3"/>
    <w:pPr>
      <w:spacing w:before="156" w:after="156"/>
    </w:pPr>
  </w:style>
  <w:style w:type="paragraph" w:customStyle="1" w:styleId="86">
    <w:name w:val="附录_A"/>
    <w:link w:val="87"/>
    <w:autoRedefine/>
    <w:qFormat/>
    <w:uiPriority w:val="5"/>
    <w:pPr>
      <w:keepNext/>
      <w:pageBreakBefore/>
      <w:widowControl w:val="0"/>
      <w:numPr>
        <w:ilvl w:val="0"/>
        <w:numId w:val="4"/>
      </w:numPr>
      <w:tabs>
        <w:tab w:val="left" w:pos="960"/>
      </w:tabs>
      <w:adjustRightInd w:val="0"/>
      <w:snapToGrid w:val="0"/>
      <w:spacing w:before="156" w:beforeLines="50" w:after="312" w:afterLines="100" w:line="420" w:lineRule="exact"/>
      <w:jc w:val="center"/>
      <w:outlineLvl w:val="0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character" w:customStyle="1" w:styleId="87">
    <w:name w:val="附录_A 字符"/>
    <w:link w:val="86"/>
    <w:qFormat/>
    <w:uiPriority w:val="5"/>
    <w:rPr>
      <w:rFonts w:ascii="黑体" w:hAnsi="Times New Roman" w:eastAsia="黑体" w:cs="Times New Roman"/>
      <w:kern w:val="0"/>
      <w:sz w:val="28"/>
      <w:szCs w:val="28"/>
      <w14:ligatures w14:val="none"/>
    </w:rPr>
  </w:style>
  <w:style w:type="paragraph" w:customStyle="1" w:styleId="88">
    <w:name w:val="附录_A.1"/>
    <w:next w:val="1"/>
    <w:link w:val="89"/>
    <w:autoRedefine/>
    <w:qFormat/>
    <w:uiPriority w:val="5"/>
    <w:pPr>
      <w:keepNext/>
      <w:widowControl w:val="0"/>
      <w:numPr>
        <w:ilvl w:val="1"/>
        <w:numId w:val="4"/>
      </w:numPr>
      <w:tabs>
        <w:tab w:val="left" w:pos="840"/>
      </w:tabs>
      <w:adjustRightInd w:val="0"/>
      <w:snapToGrid w:val="0"/>
      <w:spacing w:before="156" w:beforeLines="50" w:after="156" w:afterLines="50" w:line="600" w:lineRule="exact"/>
      <w:jc w:val="both"/>
      <w:outlineLvl w:val="1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character" w:customStyle="1" w:styleId="89">
    <w:name w:val="附录_A.1 字符"/>
    <w:link w:val="88"/>
    <w:qFormat/>
    <w:uiPriority w:val="5"/>
    <w:rPr>
      <w:rFonts w:ascii="黑体" w:hAnsi="Times New Roman" w:eastAsia="黑体" w:cs="Times New Roman"/>
      <w:kern w:val="0"/>
      <w:sz w:val="28"/>
      <w:szCs w:val="28"/>
      <w14:ligatures w14:val="none"/>
    </w:rPr>
  </w:style>
  <w:style w:type="paragraph" w:customStyle="1" w:styleId="90">
    <w:name w:val="附录_A.1.1"/>
    <w:next w:val="4"/>
    <w:link w:val="91"/>
    <w:autoRedefine/>
    <w:qFormat/>
    <w:uiPriority w:val="5"/>
    <w:pPr>
      <w:keepNext/>
      <w:widowControl w:val="0"/>
      <w:numPr>
        <w:ilvl w:val="2"/>
        <w:numId w:val="4"/>
      </w:numPr>
      <w:overflowPunct w:val="0"/>
      <w:adjustRightInd w:val="0"/>
      <w:snapToGrid w:val="0"/>
      <w:spacing w:before="156" w:beforeLines="50" w:after="156" w:afterLines="50" w:line="420" w:lineRule="exact"/>
      <w:jc w:val="both"/>
      <w:outlineLvl w:val="2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character" w:customStyle="1" w:styleId="91">
    <w:name w:val="附录_A.1.1 字符"/>
    <w:link w:val="90"/>
    <w:qFormat/>
    <w:uiPriority w:val="5"/>
    <w:rPr>
      <w:rFonts w:ascii="黑体" w:hAnsi="Times New Roman" w:eastAsia="黑体" w:cs="Times New Roman"/>
      <w:kern w:val="0"/>
      <w:sz w:val="28"/>
      <w:szCs w:val="28"/>
      <w14:ligatures w14:val="none"/>
    </w:rPr>
  </w:style>
  <w:style w:type="paragraph" w:customStyle="1" w:styleId="92">
    <w:name w:val="附录_A.1.1.1"/>
    <w:next w:val="4"/>
    <w:link w:val="93"/>
    <w:autoRedefine/>
    <w:qFormat/>
    <w:uiPriority w:val="5"/>
    <w:pPr>
      <w:keepNext/>
      <w:widowControl w:val="0"/>
      <w:numPr>
        <w:ilvl w:val="3"/>
        <w:numId w:val="4"/>
      </w:numPr>
      <w:tabs>
        <w:tab w:val="left" w:pos="1400"/>
      </w:tabs>
      <w:adjustRightInd w:val="0"/>
      <w:snapToGrid w:val="0"/>
      <w:spacing w:before="50" w:beforeLines="50" w:after="50" w:afterLines="50" w:line="420" w:lineRule="exact"/>
      <w:jc w:val="both"/>
      <w:outlineLvl w:val="3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character" w:customStyle="1" w:styleId="93">
    <w:name w:val="附录_A.1.1.1 字符"/>
    <w:link w:val="92"/>
    <w:qFormat/>
    <w:uiPriority w:val="5"/>
    <w:rPr>
      <w:rFonts w:ascii="黑体" w:hAnsi="Times New Roman" w:eastAsia="黑体" w:cs="Times New Roman"/>
      <w:kern w:val="0"/>
      <w:sz w:val="28"/>
      <w:szCs w:val="28"/>
      <w14:ligatures w14:val="none"/>
    </w:rPr>
  </w:style>
  <w:style w:type="character" w:customStyle="1" w:styleId="94">
    <w:name w:val="批注文字 字符"/>
    <w:basedOn w:val="34"/>
    <w:link w:val="19"/>
    <w:semiHidden/>
    <w:qFormat/>
    <w:uiPriority w:val="99"/>
    <w:rPr>
      <w:rFonts w:ascii="Times New Roman" w:hAnsi="Times New Roman" w:eastAsia="宋体"/>
      <w:sz w:val="18"/>
    </w:rPr>
  </w:style>
  <w:style w:type="character" w:customStyle="1" w:styleId="95">
    <w:name w:val="批注主题 字符"/>
    <w:basedOn w:val="94"/>
    <w:link w:val="31"/>
    <w:semiHidden/>
    <w:qFormat/>
    <w:uiPriority w:val="99"/>
    <w:rPr>
      <w:rFonts w:ascii="Times New Roman" w:hAnsi="Times New Roman" w:eastAsia="宋体"/>
      <w:b/>
      <w:bCs/>
      <w:sz w:val="18"/>
    </w:rPr>
  </w:style>
  <w:style w:type="character" w:customStyle="1" w:styleId="96">
    <w:name w:val="批注框文本 字符"/>
    <w:basedOn w:val="34"/>
    <w:link w:val="23"/>
    <w:semiHidden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97">
    <w:name w:val="列出段落 字符"/>
    <w:link w:val="70"/>
    <w:qFormat/>
    <w:locked/>
    <w:uiPriority w:val="1"/>
    <w:rPr>
      <w:rFonts w:cstheme="minorBidi"/>
      <w:kern w:val="2"/>
      <w:sz w:val="18"/>
      <w:szCs w:val="21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0" Type="http://schemas.openxmlformats.org/officeDocument/2006/relationships/fontTable" Target="fontTable.xml"/><Relationship Id="rId7" Type="http://schemas.openxmlformats.org/officeDocument/2006/relationships/footer" Target="footer2.xml"/><Relationship Id="rId69" Type="http://schemas.openxmlformats.org/officeDocument/2006/relationships/customXml" Target="../customXml/item1.xml"/><Relationship Id="rId68" Type="http://schemas.openxmlformats.org/officeDocument/2006/relationships/numbering" Target="numbering.xml"/><Relationship Id="rId67" Type="http://schemas.openxmlformats.org/officeDocument/2006/relationships/image" Target="media/image30.emf"/><Relationship Id="rId66" Type="http://schemas.openxmlformats.org/officeDocument/2006/relationships/package" Target="embeddings/Microsoft_Visio___23.vsdx"/><Relationship Id="rId65" Type="http://schemas.openxmlformats.org/officeDocument/2006/relationships/image" Target="media/image29.emf"/><Relationship Id="rId64" Type="http://schemas.openxmlformats.org/officeDocument/2006/relationships/package" Target="embeddings/Microsoft_Visio___22.vsdx"/><Relationship Id="rId63" Type="http://schemas.openxmlformats.org/officeDocument/2006/relationships/image" Target="media/image28.emf"/><Relationship Id="rId62" Type="http://schemas.openxmlformats.org/officeDocument/2006/relationships/package" Target="embeddings/Microsoft_Visio___21.vsdx"/><Relationship Id="rId61" Type="http://schemas.openxmlformats.org/officeDocument/2006/relationships/image" Target="media/image27.emf"/><Relationship Id="rId60" Type="http://schemas.openxmlformats.org/officeDocument/2006/relationships/package" Target="embeddings/Microsoft_Visio___20.vsdx"/><Relationship Id="rId6" Type="http://schemas.openxmlformats.org/officeDocument/2006/relationships/footer" Target="footer1.xml"/><Relationship Id="rId59" Type="http://schemas.openxmlformats.org/officeDocument/2006/relationships/image" Target="media/image26.emf"/><Relationship Id="rId58" Type="http://schemas.openxmlformats.org/officeDocument/2006/relationships/package" Target="embeddings/Microsoft_Visio___19.vsdx"/><Relationship Id="rId57" Type="http://schemas.openxmlformats.org/officeDocument/2006/relationships/image" Target="media/image25.emf"/><Relationship Id="rId56" Type="http://schemas.openxmlformats.org/officeDocument/2006/relationships/package" Target="embeddings/Microsoft_Visio___18.vsdx"/><Relationship Id="rId55" Type="http://schemas.openxmlformats.org/officeDocument/2006/relationships/image" Target="media/image24.emf"/><Relationship Id="rId54" Type="http://schemas.openxmlformats.org/officeDocument/2006/relationships/package" Target="embeddings/Microsoft_Visio___17.vsdx"/><Relationship Id="rId53" Type="http://schemas.openxmlformats.org/officeDocument/2006/relationships/image" Target="media/image23.png"/><Relationship Id="rId52" Type="http://schemas.openxmlformats.org/officeDocument/2006/relationships/image" Target="media/image22.emf"/><Relationship Id="rId51" Type="http://schemas.openxmlformats.org/officeDocument/2006/relationships/oleObject" Target="embeddings/oleObject4.bin"/><Relationship Id="rId50" Type="http://schemas.openxmlformats.org/officeDocument/2006/relationships/image" Target="media/image21.emf"/><Relationship Id="rId5" Type="http://schemas.openxmlformats.org/officeDocument/2006/relationships/header" Target="header3.xml"/><Relationship Id="rId49" Type="http://schemas.openxmlformats.org/officeDocument/2006/relationships/package" Target="embeddings/Microsoft_Visio___16.vsdx"/><Relationship Id="rId48" Type="http://schemas.openxmlformats.org/officeDocument/2006/relationships/image" Target="media/image20.emf"/><Relationship Id="rId47" Type="http://schemas.openxmlformats.org/officeDocument/2006/relationships/package" Target="embeddings/Microsoft_Visio___15.vsdx"/><Relationship Id="rId46" Type="http://schemas.openxmlformats.org/officeDocument/2006/relationships/image" Target="media/image19.emf"/><Relationship Id="rId45" Type="http://schemas.openxmlformats.org/officeDocument/2006/relationships/oleObject" Target="embeddings/oleObject3.bin"/><Relationship Id="rId44" Type="http://schemas.openxmlformats.org/officeDocument/2006/relationships/image" Target="media/image18.emf"/><Relationship Id="rId43" Type="http://schemas.openxmlformats.org/officeDocument/2006/relationships/oleObject" Target="embeddings/oleObject2.bin"/><Relationship Id="rId42" Type="http://schemas.openxmlformats.org/officeDocument/2006/relationships/image" Target="media/image17.emf"/><Relationship Id="rId41" Type="http://schemas.openxmlformats.org/officeDocument/2006/relationships/oleObject" Target="embeddings/oleObject1.bin"/><Relationship Id="rId40" Type="http://schemas.openxmlformats.org/officeDocument/2006/relationships/image" Target="media/image16.emf"/><Relationship Id="rId4" Type="http://schemas.openxmlformats.org/officeDocument/2006/relationships/header" Target="header2.xml"/><Relationship Id="rId39" Type="http://schemas.openxmlformats.org/officeDocument/2006/relationships/package" Target="embeddings/Microsoft_Visio___14.vsdx"/><Relationship Id="rId38" Type="http://schemas.openxmlformats.org/officeDocument/2006/relationships/image" Target="media/image15.emf"/><Relationship Id="rId37" Type="http://schemas.openxmlformats.org/officeDocument/2006/relationships/package" Target="embeddings/Microsoft_Visio___13.vsdx"/><Relationship Id="rId36" Type="http://schemas.openxmlformats.org/officeDocument/2006/relationships/image" Target="media/image14.png"/><Relationship Id="rId35" Type="http://schemas.openxmlformats.org/officeDocument/2006/relationships/image" Target="media/image13.emf"/><Relationship Id="rId34" Type="http://schemas.openxmlformats.org/officeDocument/2006/relationships/package" Target="embeddings/Microsoft_Visio___12.vsdx"/><Relationship Id="rId33" Type="http://schemas.openxmlformats.org/officeDocument/2006/relationships/image" Target="media/image12.emf"/><Relationship Id="rId32" Type="http://schemas.openxmlformats.org/officeDocument/2006/relationships/package" Target="embeddings/Microsoft_Visio___11.vsdx"/><Relationship Id="rId31" Type="http://schemas.openxmlformats.org/officeDocument/2006/relationships/image" Target="media/image11.emf"/><Relationship Id="rId30" Type="http://schemas.openxmlformats.org/officeDocument/2006/relationships/package" Target="embeddings/Microsoft_Visio___10.vsdx"/><Relationship Id="rId3" Type="http://schemas.openxmlformats.org/officeDocument/2006/relationships/header" Target="header1.xml"/><Relationship Id="rId29" Type="http://schemas.openxmlformats.org/officeDocument/2006/relationships/image" Target="media/image10.emf"/><Relationship Id="rId28" Type="http://schemas.openxmlformats.org/officeDocument/2006/relationships/package" Target="embeddings/Microsoft_Visio___9.vsdx"/><Relationship Id="rId27" Type="http://schemas.openxmlformats.org/officeDocument/2006/relationships/image" Target="media/image9.emf"/><Relationship Id="rId26" Type="http://schemas.openxmlformats.org/officeDocument/2006/relationships/package" Target="embeddings/Microsoft_Visio___8.vsdx"/><Relationship Id="rId25" Type="http://schemas.openxmlformats.org/officeDocument/2006/relationships/image" Target="media/image8.emf"/><Relationship Id="rId24" Type="http://schemas.openxmlformats.org/officeDocument/2006/relationships/package" Target="embeddings/Microsoft_Visio___7.vsdx"/><Relationship Id="rId23" Type="http://schemas.openxmlformats.org/officeDocument/2006/relationships/image" Target="media/image7.emf"/><Relationship Id="rId22" Type="http://schemas.openxmlformats.org/officeDocument/2006/relationships/package" Target="embeddings/Microsoft_Visio___6.vsdx"/><Relationship Id="rId21" Type="http://schemas.openxmlformats.org/officeDocument/2006/relationships/image" Target="media/image6.emf"/><Relationship Id="rId20" Type="http://schemas.openxmlformats.org/officeDocument/2006/relationships/package" Target="embeddings/Microsoft_Visio___5.vsdx"/><Relationship Id="rId2" Type="http://schemas.openxmlformats.org/officeDocument/2006/relationships/settings" Target="settings.xml"/><Relationship Id="rId19" Type="http://schemas.openxmlformats.org/officeDocument/2006/relationships/image" Target="media/image5.emf"/><Relationship Id="rId18" Type="http://schemas.openxmlformats.org/officeDocument/2006/relationships/package" Target="embeddings/Microsoft_Visio___4.vsdx"/><Relationship Id="rId17" Type="http://schemas.openxmlformats.org/officeDocument/2006/relationships/image" Target="media/image4.emf"/><Relationship Id="rId16" Type="http://schemas.openxmlformats.org/officeDocument/2006/relationships/package" Target="embeddings/Microsoft_Visio___3.vsdx"/><Relationship Id="rId15" Type="http://schemas.openxmlformats.org/officeDocument/2006/relationships/image" Target="media/image3.emf"/><Relationship Id="rId14" Type="http://schemas.openxmlformats.org/officeDocument/2006/relationships/package" Target="embeddings/Microsoft_Visio___2.vsdx"/><Relationship Id="rId13" Type="http://schemas.openxmlformats.org/officeDocument/2006/relationships/image" Target="media/image2.emf"/><Relationship Id="rId12" Type="http://schemas.openxmlformats.org/officeDocument/2006/relationships/package" Target="embeddings/Microsoft_Visio___1.vsdx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D0CC4-83B5-4FD0-A896-F1EFBE32B5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45</Pages>
  <Words>10253</Words>
  <Characters>16636</Characters>
  <Lines>171</Lines>
  <Paragraphs>48</Paragraphs>
  <TotalTime>2</TotalTime>
  <ScaleCrop>false</ScaleCrop>
  <LinksUpToDate>false</LinksUpToDate>
  <CharactersWithSpaces>17332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2024-07-22T08:04:00Z</dcterms:created>
  <dc:creator>中科微-胡前欢</dc:creator>
  <cp:lastModifiedBy>磊子</cp:lastModifiedBy>
  <dcterms:modified xsi:type="dcterms:W3CDTF">2024-09-23T03:41:39Z</dcterms:modified>
  <cp:revision>384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363B550F5F3249C8AFF877373D257FD9_12</vt:lpwstr>
  </property>
</Properties>
</file>