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D1F4">
      <w:pPr>
        <w:spacing w:before="480" w:after="480" w:line="288" w:lineRule="auto"/>
      </w:pPr>
      <w:r>
        <w:rPr>
          <w:rFonts w:ascii="Arial" w:hAnsi="Arial" w:eastAsia="等线" w:cs="Arial"/>
          <w:b/>
          <w:sz w:val="52"/>
        </w:rPr>
        <w:t>芯片与装备散热材料调研报告</w:t>
      </w:r>
    </w:p>
    <w:p w14:paraId="1E13D0CC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一、调研背景与目的</w:t>
      </w:r>
      <w:bookmarkEnd w:id="0"/>
    </w:p>
    <w:p w14:paraId="5FEE8095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调研背景</w:t>
      </w:r>
      <w:bookmarkEnd w:id="1"/>
    </w:p>
    <w:p w14:paraId="1454540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随着AI算力爆发、半导体制程向2nm演进，芯片功耗呈现“跳级式”增长，英伟达H100 GPU整卡功耗逼近700W，下一代处理器更是剑指千瓦级区间，芯片热流密度已突破300-500 W/cm²；同时，工业装备、数据中心装备、新能源汽车装备等高端装备向高功率、小型化、集成化发展，散热性能成为制约芯片与装备性能发挥、使用寿命及运行稳定性的核心瓶颈。</w:t>
      </w:r>
    </w:p>
    <w:p w14:paraId="1D843C9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传统铜铝散热材料已难以满足高热流密度场景需求，新型散热材料快速迭代，形成碳基复合、陶瓷-金属复合、超硬单晶等多条技术路径。此外，在“双碳”政策驱动下，数据中心PUE监管日趋严格，液冷技术规模化应用推动散热材料向高效化、复合化升级，亟需通过系统调研，明确各类散热材料的性能、应用场景及产业现状，为芯片与装备散热方案选型提供科学依据。</w:t>
      </w:r>
    </w:p>
    <w:p w14:paraId="2B6B3FFB">
      <w:pPr>
        <w:spacing w:before="380" w:after="140" w:line="288" w:lineRule="auto"/>
        <w:jc w:val="left"/>
        <w:outlineLvl w:val="0"/>
      </w:pPr>
      <w:bookmarkStart w:id="2" w:name="heading_3"/>
      <w:r>
        <w:rPr>
          <w:rFonts w:ascii="Arial" w:hAnsi="Arial" w:eastAsia="等线" w:cs="Arial"/>
          <w:b/>
          <w:sz w:val="36"/>
        </w:rPr>
        <w:t>二、调研范围与方法</w:t>
      </w:r>
      <w:bookmarkEnd w:id="2"/>
    </w:p>
    <w:p w14:paraId="0EB323FF">
      <w:pPr>
        <w:spacing w:before="320" w:after="120" w:line="288" w:lineRule="auto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2.1 调研范围</w:t>
      </w:r>
      <w:bookmarkEnd w:id="3"/>
    </w:p>
    <w:p w14:paraId="07FA940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本次调研覆盖芯片与装备散热全场景，具体包括：</w:t>
      </w:r>
    </w:p>
    <w:p w14:paraId="77EAA6C9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芯片领域：消费电子芯片（手机、笔记本CPU/GPU）、工业控制芯片、AI高端芯片（GPU、TPU）、功率芯片（IGBT、SiC/GaN器件）；</w:t>
      </w:r>
    </w:p>
    <w:p w14:paraId="195423F4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装备领域：数据中心装备（服务器、液冷整机柜）、新能源汽车装备（电驱、功率模块）、工业装备（高功率激光器、精密仪器）；</w:t>
      </w:r>
    </w:p>
    <w:p w14:paraId="34E6528B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材料类型：传统金属散热材料、碳基复合散热材料、陶瓷及陶瓷-金属复合散热材料、前沿新型散热材料及导热界面材料（TIM）。</w:t>
      </w:r>
    </w:p>
    <w:p w14:paraId="3F55BB1E">
      <w:pPr>
        <w:spacing w:before="380" w:after="140" w:line="288" w:lineRule="auto"/>
        <w:jc w:val="left"/>
        <w:outlineLvl w:val="0"/>
      </w:pPr>
      <w:bookmarkStart w:id="4" w:name="heading_6"/>
      <w:r>
        <w:rPr>
          <w:rFonts w:ascii="Arial" w:hAnsi="Arial" w:eastAsia="等线" w:cs="Arial"/>
          <w:b/>
          <w:sz w:val="36"/>
        </w:rPr>
        <w:t>三、芯片与装备散热核心需求分析</w:t>
      </w:r>
      <w:bookmarkEnd w:id="4"/>
    </w:p>
    <w:p w14:paraId="5C1DAE6E">
      <w:pPr>
        <w:spacing w:before="320" w:after="120" w:line="288" w:lineRule="auto"/>
        <w:jc w:val="left"/>
        <w:outlineLvl w:val="1"/>
      </w:pPr>
      <w:bookmarkStart w:id="5" w:name="heading_7"/>
      <w:r>
        <w:rPr>
          <w:rFonts w:ascii="Arial" w:hAnsi="Arial" w:eastAsia="等线" w:cs="Arial"/>
          <w:b/>
          <w:sz w:val="32"/>
        </w:rPr>
        <w:t>3.1 芯片散热核心需求</w:t>
      </w:r>
      <w:bookmarkEnd w:id="5"/>
    </w:p>
    <w:p w14:paraId="01808262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芯片散热的核心需求是快速导出芯片核心区域的热量，控制芯片结温在安全范围（通常≤105℃），同时兼顾小型化、轻量化、热膨胀匹配及成本控制，不同类型芯片需求差异显著：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9FB83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BBF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芯片类型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4005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热流密度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2A4F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核心散热需求</w:t>
            </w:r>
          </w:p>
        </w:tc>
      </w:tr>
      <w:tr w14:paraId="39B148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4200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消费电子芯片（手机/笔记本CPU/GPU）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C946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50-200 W/cm²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A46A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轻薄、柔性、低成本，适配狭小空间，无明显发热卡顿</w:t>
            </w:r>
          </w:p>
        </w:tc>
      </w:tr>
      <w:tr w14:paraId="309CDA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5437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工业控制芯片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64C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30-100 W/cm²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5956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耐高温、高可靠性，适应复杂工业工况（振动、潮湿）</w:t>
            </w:r>
          </w:p>
        </w:tc>
      </w:tr>
      <w:tr w14:paraId="651E7B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9FC4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AI高端芯片（GPU、TPU）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A3B1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300-500+ W/cm²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4CB7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极致导热、热膨胀匹配，适配液冷系统，降低PUE</w:t>
            </w:r>
          </w:p>
        </w:tc>
      </w:tr>
      <w:tr w14:paraId="22D950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D360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功率芯片（IGBT、SiC/GaN）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ECF8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100-300 W/cm²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07C1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绝缘、耐高温、低热阻，适配功率模块封装</w:t>
            </w:r>
          </w:p>
        </w:tc>
      </w:tr>
    </w:tbl>
    <w:p w14:paraId="5E82D1A1">
      <w:pPr>
        <w:spacing w:before="320" w:after="120" w:line="288" w:lineRule="auto"/>
        <w:jc w:val="left"/>
        <w:outlineLvl w:val="1"/>
      </w:pPr>
      <w:bookmarkStart w:id="6" w:name="heading_8"/>
      <w:r>
        <w:rPr>
          <w:rFonts w:ascii="Arial" w:hAnsi="Arial" w:eastAsia="等线" w:cs="Arial"/>
          <w:b/>
          <w:sz w:val="32"/>
        </w:rPr>
        <w:t>3.2 装备散热核心需求</w:t>
      </w:r>
      <w:bookmarkEnd w:id="6"/>
    </w:p>
    <w:p w14:paraId="030B18D2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装备散热需结合整体结构设计，兼顾散热效率、可靠性、成本及维护便利性，不同装备的散热场景差异较大，核心需求聚焦于系统级热管理：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3FE71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EF5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装备类型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D52E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核心发热部件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1597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核心散热需求</w:t>
            </w:r>
          </w:p>
        </w:tc>
      </w:tr>
      <w:tr w14:paraId="3C8A49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85E4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数据中心装备（服务器、液冷机柜）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8AE7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AI芯片、CPU、GPU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F2A8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高效导热、适配液冷系统，支持兆瓦级功率，降低PUE至1.25以内</w:t>
            </w:r>
          </w:p>
        </w:tc>
      </w:tr>
      <w:tr w14:paraId="75D177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E533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新能源汽车装备（电驱、功率模块）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123E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IGBT模块、SiC器件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D313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绝缘、耐高温、抗振动，适应高低温工况，保障长期可靠运行</w:t>
            </w:r>
          </w:p>
        </w:tc>
      </w:tr>
      <w:tr w14:paraId="19280B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A687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工业装备（高功率激光器、精密仪器）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1008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功率芯片、激光二极管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F2B9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精准温控、低热阻、高稳定性，适配特殊工作环境</w:t>
            </w:r>
          </w:p>
        </w:tc>
      </w:tr>
    </w:tbl>
    <w:p w14:paraId="754AB512">
      <w:pPr>
        <w:spacing w:before="380" w:after="140" w:line="288" w:lineRule="auto"/>
        <w:jc w:val="left"/>
        <w:outlineLvl w:val="0"/>
      </w:pPr>
      <w:bookmarkStart w:id="7" w:name="heading_9"/>
      <w:r>
        <w:rPr>
          <w:rFonts w:ascii="Arial" w:hAnsi="Arial" w:eastAsia="等线" w:cs="Arial"/>
          <w:b/>
          <w:sz w:val="36"/>
        </w:rPr>
        <w:t>四、主流散热材料分类及性能对比</w:t>
      </w:r>
      <w:bookmarkEnd w:id="7"/>
    </w:p>
    <w:p w14:paraId="4DD3354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结合调研结果，当前芯片与装备领域的散热材料主要分为四大类：传统金属材料、碳基复合材料、陶瓷及陶瓷-金属复合材料、前沿新型材料，各类材料的核心性能、优势局限及应用现状如下：</w:t>
      </w:r>
    </w:p>
    <w:p w14:paraId="02BED802">
      <w:pPr>
        <w:spacing w:before="320" w:after="120" w:line="288" w:lineRule="auto"/>
        <w:jc w:val="left"/>
        <w:outlineLvl w:val="1"/>
      </w:pPr>
      <w:bookmarkStart w:id="8" w:name="heading_10"/>
      <w:r>
        <w:rPr>
          <w:rFonts w:ascii="Arial" w:hAnsi="Arial" w:eastAsia="等线" w:cs="Arial"/>
          <w:b/>
          <w:sz w:val="32"/>
        </w:rPr>
        <w:t>4.1 传统金属散热材料（基础类）</w:t>
      </w:r>
      <w:bookmarkEnd w:id="8"/>
    </w:p>
    <w:p w14:paraId="203AC4D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作为最基础的散热材料，广泛应用于中低功率芯片与装备，核心优势是加工性好、成本可控，性能已接近物理极限，难以满足高热流密度需求。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A242A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816C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4BBC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导热系数（W/m·K）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6E83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核心优势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05CC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核心局限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39C1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</w:t>
            </w:r>
          </w:p>
        </w:tc>
      </w:tr>
      <w:tr w14:paraId="02B24F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BA72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铜及铜合金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3410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380-401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BAA7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导热效率高、加工性好，快速吸热传导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34DD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重量大、成本高于铝，热膨胀系数与芯片匹配度一般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FB58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CPU散热器底座、服务器热管、芯片导热衬垫</w:t>
            </w:r>
          </w:p>
        </w:tc>
      </w:tr>
      <w:tr w14:paraId="4491BC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11F7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铝及铝合金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D7FA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200-237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742D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轻量化、成本低、比热容高，散热释放快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505B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导热性能一般，仅为铜的60%，高功率下易热堆积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9FB7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散热鳍片、设备外壳、普通手机散热件</w:t>
            </w:r>
          </w:p>
        </w:tc>
      </w:tr>
      <w:tr w14:paraId="38AA2F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E416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铜铝混合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4B34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250-350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3795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平衡性能与成本，性价比最优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DA01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性能上限有限，无法满足千瓦级芯片需求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ED97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主流PC散热器、中高端手机VC液冷系统</w:t>
            </w:r>
          </w:p>
        </w:tc>
      </w:tr>
    </w:tbl>
    <w:p w14:paraId="720EAA38">
      <w:pPr>
        <w:spacing w:before="320" w:after="120" w:line="288" w:lineRule="auto"/>
        <w:jc w:val="left"/>
        <w:outlineLvl w:val="1"/>
      </w:pPr>
      <w:bookmarkStart w:id="9" w:name="heading_11"/>
      <w:r>
        <w:rPr>
          <w:rFonts w:ascii="Arial" w:hAnsi="Arial" w:eastAsia="等线" w:cs="Arial"/>
          <w:b/>
          <w:sz w:val="32"/>
        </w:rPr>
        <w:t>4.2 碳基复合散热材料（中高端主流）</w:t>
      </w:r>
      <w:bookmarkEnd w:id="9"/>
    </w:p>
    <w:p w14:paraId="355A8CE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以石墨烯、金刚石为核心的碳基复合材料，导热性能远超传统金属，是当前中高端芯片与装备的首选散热材料，分为二维薄膜类与三维复合类，适配不同场景需求。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B40EB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956D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AEF8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导热系数（W/m·K）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A07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核心优势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1F59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核心局限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8F2C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3BFF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成熟度</w:t>
            </w:r>
          </w:p>
        </w:tc>
      </w:tr>
      <w:tr w14:paraId="374CC8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623B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石墨烯导热膜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A13B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面内1200-1500，垂直400-460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8C79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超薄柔性、轻量化，面内导热极佳，适配狭小空间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E9C4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垂直导热弱，界面接触热阻高，质地脆易断裂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0784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手机、笔记本均热板、AI芯片均热件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F05C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量产/快速渗透</w:t>
            </w:r>
          </w:p>
        </w:tc>
      </w:tr>
      <w:tr w14:paraId="12CCCF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3351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石墨烯/铜复合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3716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680-800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341E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产线兼容、提升铜强度，导热较纯铜提升15%-30%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91C8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石墨烯分散难度大，成本高于纯铜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7531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液冷板、消费电子高端散热、工业芯片散热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D22D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量产/技术迭代</w:t>
            </w:r>
          </w:p>
        </w:tc>
      </w:tr>
      <w:tr w14:paraId="3D956A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FCE6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金刚石/铜复合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A612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680-1000+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A04C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高导热、热膨胀匹配，助力芯片性能提升10%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471C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加工难度大，成本较高，界面结合需优化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A5CA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AI服务器冷板、高端GPU热沉、兆瓦级液冷机柜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B437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大规模部署</w:t>
            </w:r>
          </w:p>
        </w:tc>
      </w:tr>
      <w:tr w14:paraId="60EC79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52A4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CVD金刚石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DFF2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1000-2300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161F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天然最高导热、绝缘，匹配SiC/GaN器件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7D2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成本极高、脆性大，加工难度大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9CED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射频芯片、航天器芯片、高功率激光器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93A4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量产/规模化应用（高端场景）</w:t>
            </w:r>
          </w:p>
        </w:tc>
      </w:tr>
    </w:tbl>
    <w:p w14:paraId="388CCDB3">
      <w:pPr>
        <w:spacing w:before="320" w:after="120" w:line="288" w:lineRule="auto"/>
        <w:jc w:val="left"/>
        <w:outlineLvl w:val="1"/>
      </w:pPr>
      <w:bookmarkStart w:id="10" w:name="heading_12"/>
      <w:r>
        <w:rPr>
          <w:rFonts w:ascii="Arial" w:hAnsi="Arial" w:eastAsia="等线" w:cs="Arial"/>
          <w:b/>
          <w:sz w:val="32"/>
        </w:rPr>
        <w:t>4.3 陶瓷及陶瓷-金属复合散热材料（绝缘类）</w:t>
      </w:r>
      <w:bookmarkEnd w:id="10"/>
    </w:p>
    <w:p w14:paraId="28DE468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核心优势是绝缘、耐高温，适配功率芯片及需要绝缘散热的装备场景，解决功率器件绝缘散热难题，是新能源汽车、工业装备的核心散热材料。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3E071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E376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B8E0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导热系数（W/m·K）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9336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核心优势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F200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核心局限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7ABA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EAEE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成熟度</w:t>
            </w:r>
          </w:p>
        </w:tc>
      </w:tr>
      <w:tr w14:paraId="0A4E02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6F64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ALN（氮化铝）陶瓷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08B7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180-230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2FEB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绝缘性能优异、热膨胀匹配Si芯片，击穿电压高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AEBB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大尺寸制备难度大，成本高于普通陶瓷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E729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IGBT基板、功率模块封装、工业控制芯片散热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449E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成熟主力/国产替代</w:t>
            </w:r>
          </w:p>
        </w:tc>
      </w:tr>
      <w:tr w14:paraId="14F6AD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CAF3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SiC（碳化硅）陶瓷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49D2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200-300（纯陶瓷）；400-500（复合后）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5F60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耐高温、热阻低，热膨胀系数与硅接近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ECB0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加工难度大，12英寸大尺寸仍在研发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9120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AI芯片封装中介层、新能源汽车电驱、高功率装备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7663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量产/技术突破</w:t>
            </w:r>
          </w:p>
        </w:tc>
      </w:tr>
      <w:tr w14:paraId="0BCEF5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EF33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纳米陶瓷填料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2C6F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提升TIM导热3-5倍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3D84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粒径小、填充率高，降低界面热阻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500A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分散均匀性要求高，需搭配适配基材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A253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导热界面材料（TIM）、芯片与散热器填充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6007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量产/广泛应用</w:t>
            </w:r>
          </w:p>
        </w:tc>
      </w:tr>
    </w:tbl>
    <w:p w14:paraId="16520C57">
      <w:pPr>
        <w:spacing w:before="320" w:after="120" w:line="288" w:lineRule="auto"/>
        <w:jc w:val="left"/>
        <w:outlineLvl w:val="1"/>
      </w:pPr>
      <w:bookmarkStart w:id="11" w:name="heading_13"/>
      <w:r>
        <w:rPr>
          <w:rFonts w:ascii="Arial" w:hAnsi="Arial" w:eastAsia="等线" w:cs="Arial"/>
          <w:b/>
          <w:sz w:val="32"/>
        </w:rPr>
        <w:t>4.4 前沿新型散热材料（实验室-中试阶段）</w:t>
      </w:r>
      <w:bookmarkEnd w:id="11"/>
    </w:p>
    <w:p w14:paraId="58DA31F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聚焦极致散热需求，目前处于实验室研发或中试阶段，未来有望突破现有材料性能极限，适配千瓦级芯片与高端装备散热。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491711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0A04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CF0C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导热系数（W/m·K）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38FC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核心优势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E92C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当前进展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84E0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潜在应用</w:t>
            </w:r>
          </w:p>
        </w:tc>
      </w:tr>
      <w:tr w14:paraId="56245B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17E5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θ-TaN（氮化钽）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24C8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~1100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85AE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金属导热新极限，声子带幅宽，抑制声子散射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2762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实验室→中试，尚未规模化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7530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超算中心、高端液冷冷板、极致功率芯片</w:t>
            </w:r>
          </w:p>
        </w:tc>
      </w:tr>
      <w:tr w14:paraId="326746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435C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全固态石墨烯垫片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C61A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460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F7A0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热阻媲美液态金属，无泄漏风险，性能稳定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C913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实验室研发，实测效果优异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7F4D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AI芯片热界面、高端服务器散热</w:t>
            </w:r>
          </w:p>
        </w:tc>
      </w:tr>
      <w:tr w14:paraId="439133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7C1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镀铬金刚石/铜复合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A7C0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574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809C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界面结合性好，导热率较未镀铬样品提升4.5倍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0550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工艺研发阶段，逐步优化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AE9A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高端GPU、高功率芯片热沉</w:t>
            </w:r>
          </w:p>
        </w:tc>
      </w:tr>
    </w:tbl>
    <w:p w14:paraId="58C0DFAC">
      <w:pPr>
        <w:spacing w:before="320" w:after="120" w:line="288" w:lineRule="auto"/>
        <w:jc w:val="left"/>
        <w:outlineLvl w:val="1"/>
      </w:pPr>
      <w:bookmarkStart w:id="12" w:name="heading_14"/>
      <w:r>
        <w:rPr>
          <w:rFonts w:ascii="Arial" w:hAnsi="Arial" w:eastAsia="等线" w:cs="Arial"/>
          <w:b/>
          <w:sz w:val="32"/>
        </w:rPr>
        <w:t>4.5 导热界面材料（TIM）补充说明</w:t>
      </w:r>
      <w:bookmarkEnd w:id="12"/>
    </w:p>
    <w:p w14:paraId="1C97B9B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导热界面材料是芯片与散热载体之间的关键衔接材料，核心作用是填充界面间隙、降低界面热阻，其性能直接影响整体散热效率，是芯片与装备散热的“薄弱环节”，目前主流类型及性能如下：</w:t>
      </w:r>
    </w:p>
    <w:p w14:paraId="13C5A8D8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导热硅胶垫片：导热系数1-10 W/m·K，绝缘、填缝性好，适用于低中功率芯片界面填充，存在长期高温老化风险；</w:t>
      </w:r>
    </w:p>
    <w:p w14:paraId="011AB0BB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液态金属：导热系数15-73 W/m·K，较传统硅脂提升5-10倍，适配高功率芯片，但存在氧化、泄漏隐患；</w:t>
      </w:r>
    </w:p>
    <w:p w14:paraId="026EA2FF">
      <w:pPr>
        <w:numPr>
          <w:ilvl w:val="0"/>
          <w:numId w:val="6"/>
        </w:numPr>
        <w:spacing w:before="120" w:after="120" w:line="288" w:lineRule="auto"/>
        <w:jc w:val="left"/>
        <w:rPr>
          <w:highlight w:val="yellow"/>
        </w:rPr>
      </w:pPr>
      <w:r>
        <w:rPr>
          <w:rFonts w:ascii="Arial" w:hAnsi="Arial" w:eastAsia="等线" w:cs="Arial"/>
          <w:sz w:val="22"/>
          <w:highlight w:val="yellow"/>
        </w:rPr>
        <w:t>石墨烯/硅脂复合：面外导热可达15.2 W/m·K，适配高功率场景，平衡热阻与可靠性，已实现量产应用；</w:t>
      </w:r>
    </w:p>
    <w:p w14:paraId="2EFAF22B">
      <w:pPr>
        <w:numPr>
          <w:ilvl w:val="0"/>
          <w:numId w:val="7"/>
        </w:numPr>
        <w:spacing w:before="120" w:after="120" w:line="288" w:lineRule="auto"/>
        <w:jc w:val="left"/>
        <w:rPr>
          <w:highlight w:val="yellow"/>
        </w:rPr>
      </w:pPr>
      <w:r>
        <w:rPr>
          <w:rFonts w:ascii="Arial" w:hAnsi="Arial" w:eastAsia="等线" w:cs="Arial"/>
          <w:sz w:val="22"/>
          <w:highlight w:val="yellow"/>
        </w:rPr>
        <w:t>全固态石墨烯垫片：热阻低至1.8 mm²K/W，性能媲美液态金属，无泄漏风险，是AI芯片界面散热的新型选择。</w:t>
      </w:r>
    </w:p>
    <w:p w14:paraId="32327B4E">
      <w:pPr>
        <w:spacing w:before="380" w:after="140" w:line="288" w:lineRule="auto"/>
        <w:jc w:val="left"/>
        <w:outlineLvl w:val="0"/>
      </w:pPr>
      <w:bookmarkStart w:id="13" w:name="heading_15"/>
      <w:r>
        <w:rPr>
          <w:rFonts w:ascii="Arial" w:hAnsi="Arial" w:eastAsia="等线" w:cs="Arial"/>
          <w:b/>
          <w:sz w:val="36"/>
        </w:rPr>
        <w:t>五、分场景散热材料选型建议</w:t>
      </w:r>
      <w:bookmarkEnd w:id="13"/>
    </w:p>
    <w:p w14:paraId="7C5A8B6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结合芯片与装备的散热需求、材料性能及成熟度，按场景分类给出针对性选型建议，兼顾性能、成本与可实现性，参考最新行业应用案例：</w:t>
      </w:r>
    </w:p>
    <w:p w14:paraId="70041571">
      <w:pPr>
        <w:spacing w:before="320" w:after="120" w:line="288" w:lineRule="auto"/>
        <w:jc w:val="left"/>
        <w:outlineLvl w:val="1"/>
      </w:pPr>
      <w:bookmarkStart w:id="14" w:name="heading_16"/>
      <w:r>
        <w:rPr>
          <w:rFonts w:ascii="Arial" w:hAnsi="Arial" w:eastAsia="等线" w:cs="Arial"/>
          <w:b/>
          <w:sz w:val="32"/>
        </w:rPr>
        <w:t>5.1 芯片领域选型建议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C2240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030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芯片类型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34FC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推荐材料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4A3C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辅助材料（TIM）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6F0D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选型理由</w:t>
            </w:r>
          </w:p>
        </w:tc>
      </w:tr>
      <w:tr w14:paraId="52C095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1CDBB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消费电子芯片（手机/笔记本）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55BEE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石墨烯导热膜、铜铝混合、石墨烯/铜复合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94BB6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导热硅胶垫片、普通导热硅脂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1EF67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轻薄柔性、成本可控，适配狭小空间，贴合消费电子产线工艺</w:t>
            </w:r>
          </w:p>
        </w:tc>
      </w:tr>
      <w:tr w14:paraId="394FB2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D4A9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工业控制芯片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618F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铝及铝合金、AlN陶瓷、石墨烯/铜复合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E76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耐高温导热硅胶、纳米陶瓷填充TIM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92CB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耐高温、高可靠性，适应复杂工业工况，平衡性能与成本</w:t>
            </w:r>
          </w:p>
        </w:tc>
      </w:tr>
      <w:tr w14:paraId="7D36A7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7263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AI高端芯片（GPU、TPU）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224D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金刚石/铜复合、CVD金刚石、SiC复合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EC1F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石墨烯/硅脂复合、全固态石墨烯垫片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2369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极致导热、热膨胀匹配，适配液冷系统，满足千瓦级散热需求，参考英伟达Vera Rubin架构GPU散热方案</w:t>
            </w:r>
          </w:p>
        </w:tc>
      </w:tr>
      <w:tr w14:paraId="0E0FCD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3D5A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功率芯片（IGBT、SiC/GaN）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7663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AlN陶瓷、SiC陶瓷、陶瓷-金属复合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F77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高导热TIM、纳米陶瓷填料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9295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绝缘、耐高温、低热阻，适配功率模块封装，满足新能源汽车、工业装备需求</w:t>
            </w:r>
          </w:p>
        </w:tc>
      </w:tr>
    </w:tbl>
    <w:p w14:paraId="339E2EF1">
      <w:pPr>
        <w:spacing w:before="320" w:after="120" w:line="288" w:lineRule="auto"/>
        <w:jc w:val="left"/>
        <w:outlineLvl w:val="1"/>
      </w:pPr>
      <w:bookmarkStart w:id="15" w:name="heading_17"/>
      <w:r>
        <w:rPr>
          <w:rFonts w:ascii="Arial" w:hAnsi="Arial" w:eastAsia="等线" w:cs="Arial"/>
          <w:b/>
          <w:sz w:val="32"/>
        </w:rPr>
        <w:t>5.2 装备领域选型建议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568FAF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957E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装备类型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CD59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推荐材料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96BD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散热系统搭配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179A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选型理由</w:t>
            </w:r>
          </w:p>
        </w:tc>
      </w:tr>
      <w:tr w14:paraId="176035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BA52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数据中心装备（服务器、液冷机柜）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BEBB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金刚石/铜复合、CVD金刚石、石墨烯/铜复合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B645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相变浸没液冷、温水直液冷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8C68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高效导热，支持兆瓦级功率，可将系统导热率提升80%，降低PUE，参考曙光数创C8000 V3.0方案应用</w:t>
            </w:r>
          </w:p>
        </w:tc>
      </w:tr>
      <w:tr w14:paraId="625B97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E9A5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新能源汽车装备（电驱、功率模块）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20F9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AlN陶瓷、SiC陶瓷、陶瓷-金属复合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FEC5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水冷系统、风冷系统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9FA1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绝缘、耐高温、抗振动，适应汽车高低温工况，保障功率器件长期稳定运行</w:t>
            </w:r>
          </w:p>
        </w:tc>
      </w:tr>
      <w:tr w14:paraId="0E3AC1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C9AE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工业装备（高功率激光器、精密仪器）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BA5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CVD金刚石、SiC复合、θ-TaN（未来）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1F05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液冷系统、热电制冷系统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4905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极致导热、精准温控，适配特殊工作环境，满足高功率装备散热需求</w:t>
            </w:r>
          </w:p>
        </w:tc>
      </w:tr>
    </w:tbl>
    <w:p w14:paraId="5B579C86">
      <w:pPr>
        <w:spacing w:before="380" w:after="140" w:line="288" w:lineRule="auto"/>
        <w:jc w:val="left"/>
        <w:outlineLvl w:val="0"/>
      </w:pPr>
      <w:bookmarkStart w:id="16" w:name="heading_18"/>
      <w:r>
        <w:rPr>
          <w:rFonts w:ascii="Arial" w:hAnsi="Arial" w:eastAsia="等线" w:cs="Arial"/>
          <w:b/>
          <w:sz w:val="36"/>
        </w:rPr>
        <w:t>六、产业现状与市场趋势</w:t>
      </w:r>
      <w:bookmarkEnd w:id="16"/>
    </w:p>
    <w:p w14:paraId="753AF206">
      <w:pPr>
        <w:spacing w:before="320" w:after="120" w:line="288" w:lineRule="auto"/>
        <w:jc w:val="left"/>
        <w:outlineLvl w:val="1"/>
      </w:pPr>
      <w:bookmarkStart w:id="17" w:name="heading_19"/>
      <w:r>
        <w:rPr>
          <w:rFonts w:ascii="Arial" w:hAnsi="Arial" w:eastAsia="等线" w:cs="Arial"/>
          <w:b/>
          <w:sz w:val="32"/>
        </w:rPr>
        <w:t>6.1 产业现状</w:t>
      </w:r>
      <w:bookmarkEnd w:id="17"/>
    </w:p>
    <w:p w14:paraId="3B1E6636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全球格局：欧美、日本企业（3M、汉高、信越化学、京瓷）占据高端散热材料第一梯队，聚焦CVD金刚石、高端TIM等领域；国内企业（</w:t>
      </w:r>
      <w:bookmarkStart w:id="18" w:name="OLE_LINK2"/>
      <w:bookmarkStart w:id="19" w:name="OLE_LINK1"/>
      <w:r>
        <w:rPr>
          <w:rFonts w:hint="eastAsia" w:ascii="Arial" w:hAnsi="Arial" w:eastAsia="等线" w:cs="Arial"/>
          <w:sz w:val="22"/>
          <w:lang w:val="en-US" w:eastAsia="zh-CN"/>
        </w:rPr>
        <w:t>南京瑞为、</w:t>
      </w:r>
      <w:r>
        <w:rPr>
          <w:rFonts w:hint="eastAsia" w:ascii="Arial" w:hAnsi="Arial" w:eastAsia="等线" w:cs="Arial"/>
          <w:sz w:val="22"/>
        </w:rPr>
        <w:t>常州富烯、深圳</w:t>
      </w:r>
      <w:r>
        <w:rPr>
          <w:rFonts w:ascii="Arial" w:hAnsi="Arial" w:eastAsia="等线" w:cs="Arial"/>
          <w:sz w:val="22"/>
        </w:rPr>
        <w:t>飞荣达</w:t>
      </w:r>
      <w:bookmarkEnd w:id="18"/>
      <w:bookmarkEnd w:id="19"/>
      <w:r>
        <w:rPr>
          <w:rFonts w:ascii="Arial" w:hAnsi="Arial" w:eastAsia="等线" w:cs="Arial"/>
          <w:sz w:val="22"/>
        </w:rPr>
        <w:t>）处于第二梯队，主要布局石墨烯材料、陶瓷基板、液冷材料，国产替代空间巨大。</w:t>
      </w:r>
    </w:p>
    <w:p w14:paraId="36CFD698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国产化进展：我国金刚石单晶产量占全球90%以上，金刚石/铜复合已实现规模化应用；石墨烯导热膜、AlN陶瓷等领域国产产能主导全球，技术水平与国际接轨。</w:t>
      </w:r>
    </w:p>
    <w:p w14:paraId="649277BE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规模化应用：石墨烯导热膜、AlN陶瓷、铜铝复合已广泛应用于消费电子、工业装备；金刚石/铜复合在数据中心液冷机柜中实现规模化应用，曙光数创兆瓦级液冷方案已落地；CVD金刚石主要应用于高端场景，尚未全面普及。</w:t>
      </w:r>
    </w:p>
    <w:p w14:paraId="29E98CD2">
      <w:pPr>
        <w:spacing w:before="320" w:after="120" w:line="288" w:lineRule="auto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6.2 市场趋势</w:t>
      </w:r>
      <w:bookmarkEnd w:id="20"/>
    </w:p>
    <w:p w14:paraId="5C14A47D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需求增长：AI芯片、数据中心液冷、新能源汽车的快速发展，推动高端散热材料需求爆发，IDC预计2024-2029年中国液冷服务器市场年复合增长率达46.8%，2029年市场规模达162亿美元；预计2028年全球金刚石散热市场规模有望达到172-483亿元。</w:t>
      </w:r>
    </w:p>
    <w:p w14:paraId="394A92F4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技术迭代：散热材料向复合化、高效化、集成化发展，“材料+系统”协同散热成为主流，如金刚石复合材料与液冷系统结合，形成叠加效应；前沿材料（θ-TaN、全固态石墨烯垫片）逐步从实验室走向中试，2026-2028年有望规模化。</w:t>
      </w:r>
    </w:p>
    <w:p w14:paraId="7A8624B9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国产化替代：国内企业在石墨烯、陶瓷基板、金刚石复合等领域持续突破，随着英伟达放开液冷供应商权限，大陆液冷及散热材料厂商有望切入全球高端供应链，提升市场份额。</w:t>
      </w:r>
    </w:p>
    <w:p w14:paraId="00FED743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成本优化：随着工艺成熟，金刚石复合、石墨烯等高端材料成本逐步下降，推动其向中功率场景渗透，替代传统金属材料。</w:t>
      </w:r>
    </w:p>
    <w:p w14:paraId="7EE64861">
      <w:pPr>
        <w:spacing w:before="380" w:after="140" w:line="288" w:lineRule="auto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七、调研结论与建议</w:t>
      </w:r>
      <w:bookmarkEnd w:id="21"/>
    </w:p>
    <w:p w14:paraId="04AAAEEE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芯片与装备的散热需求呈现差异化，高热流密度（AI芯片、兆瓦级装备）需求推动新型散热材料快速迭代，传统金属材料已难以满足高端场景需求。</w:t>
      </w:r>
    </w:p>
    <w:p w14:paraId="748D971F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碳基复合材料（石墨烯、金刚石复合）、陶瓷-金属复合材料成为中高端场景主流，兼具高效导热、热膨胀匹配、绝缘等优势，适配不同芯片与装备的核心需求。</w:t>
      </w:r>
    </w:p>
    <w:p w14:paraId="54F68622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界面热阻是制约散热效率的核心瓶颈，导热界面材料（TIM）的升级与优化，成为提升整体散热性能的关键，全固态石墨烯垫片等新型TIM有望替代传统产品。</w:t>
      </w:r>
    </w:p>
    <w:p w14:paraId="47F5114D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国产散热材料发展迅速，在中低端领域已实现全面替代，高端领域（CVD金刚石、高端复合材）逐步突破，市场前景广阔；液冷技术与散热材料的协同发展，成为未来核心趋势。</w:t>
      </w:r>
    </w:p>
    <w:p w14:paraId="43B65512">
      <w:pPr>
        <w:numPr>
          <w:numId w:val="0"/>
        </w:numPr>
        <w:spacing w:before="120" w:after="120" w:line="288" w:lineRule="auto"/>
        <w:jc w:val="left"/>
        <w:rPr>
          <w:rFonts w:hint="default" w:eastAsia="等线"/>
          <w:sz w:val="22"/>
          <w:szCs w:val="24"/>
          <w:highlight w:val="yellow"/>
          <w:lang w:val="en-US" w:eastAsia="zh-CN"/>
        </w:rPr>
      </w:pPr>
      <w:r>
        <w:rPr>
          <w:rFonts w:hint="eastAsia" w:ascii="Arial" w:hAnsi="Arial" w:eastAsia="等线" w:cs="Arial"/>
          <w:sz w:val="24"/>
          <w:szCs w:val="24"/>
          <w:highlight w:val="yellow"/>
          <w:lang w:val="en-US" w:eastAsia="zh-CN"/>
        </w:rPr>
        <w:t>目前行业内常用做法，可以采用金刚石/铜合金，与芯片壳体封装焊接在一起。南京瑞为的相关产品已在29所、10所成熟应用，且</w:t>
      </w:r>
      <w:bookmarkStart w:id="22" w:name="_GoBack"/>
      <w:bookmarkEnd w:id="22"/>
      <w:r>
        <w:rPr>
          <w:rFonts w:hint="eastAsia" w:ascii="Arial" w:hAnsi="Arial" w:eastAsia="等线" w:cs="Arial"/>
          <w:sz w:val="24"/>
          <w:szCs w:val="24"/>
          <w:highlight w:val="yellow"/>
          <w:lang w:val="en-US" w:eastAsia="zh-CN"/>
        </w:rPr>
        <w:t>性价比较高。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805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9B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91919"/>
    <w:multiLevelType w:val="multilevel"/>
    <w:tmpl w:val="0709191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984AF7"/>
    <w:multiLevelType w:val="multilevel"/>
    <w:tmpl w:val="09984AF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FA52B18"/>
    <w:multiLevelType w:val="multilevel"/>
    <w:tmpl w:val="1FA52B1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07C0D18"/>
    <w:multiLevelType w:val="multilevel"/>
    <w:tmpl w:val="407C0D1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57973F6"/>
    <w:multiLevelType w:val="multilevel"/>
    <w:tmpl w:val="457973F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C9F43F7"/>
    <w:multiLevelType w:val="multilevel"/>
    <w:tmpl w:val="4C9F43F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4CA47B7F"/>
    <w:multiLevelType w:val="multilevel"/>
    <w:tmpl w:val="4CA47B7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4D406024"/>
    <w:multiLevelType w:val="multilevel"/>
    <w:tmpl w:val="4D40602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50063AB5"/>
    <w:multiLevelType w:val="multilevel"/>
    <w:tmpl w:val="50063AB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56B23043"/>
    <w:multiLevelType w:val="multilevel"/>
    <w:tmpl w:val="56B2304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60FA10CD"/>
    <w:multiLevelType w:val="multilevel"/>
    <w:tmpl w:val="60FA10C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A2010BB"/>
    <w:multiLevelType w:val="multilevel"/>
    <w:tmpl w:val="6A2010B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71807BCA"/>
    <w:multiLevelType w:val="multilevel"/>
    <w:tmpl w:val="71807BC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72DA6445"/>
    <w:multiLevelType w:val="multilevel"/>
    <w:tmpl w:val="72DA644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53962A1"/>
    <w:multiLevelType w:val="multilevel"/>
    <w:tmpl w:val="753962A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5D9685F"/>
    <w:multiLevelType w:val="multilevel"/>
    <w:tmpl w:val="75D9685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DEE7109"/>
    <w:multiLevelType w:val="multilevel"/>
    <w:tmpl w:val="7DEE710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DFB4D00"/>
    <w:multiLevelType w:val="multilevel"/>
    <w:tmpl w:val="7DFB4D0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0"/>
  </w:num>
  <w:num w:numId="5">
    <w:abstractNumId w:val="14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  <w:num w:numId="15">
    <w:abstractNumId w:val="17"/>
  </w:num>
  <w:num w:numId="16">
    <w:abstractNumId w:val="1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B19AB"/>
    <w:rsid w:val="00246E2D"/>
    <w:rsid w:val="006B456E"/>
    <w:rsid w:val="0079473A"/>
    <w:rsid w:val="007B4A03"/>
    <w:rsid w:val="008B19AB"/>
    <w:rsid w:val="008E2B04"/>
    <w:rsid w:val="00B46275"/>
    <w:rsid w:val="00B679BC"/>
    <w:rsid w:val="00E42921"/>
    <w:rsid w:val="00E7680F"/>
    <w:rsid w:val="240B4BD6"/>
    <w:rsid w:val="374406C8"/>
    <w:rsid w:val="5DE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4545</Words>
  <Characters>5012</Characters>
  <Lines>37</Lines>
  <Paragraphs>10</Paragraphs>
  <TotalTime>242</TotalTime>
  <ScaleCrop>false</ScaleCrop>
  <LinksUpToDate>false</LinksUpToDate>
  <CharactersWithSpaces>5039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2026-04-10T06:46:00Z</dcterms:created>
  <dc:creator>Apache POI</dc:creator>
  <cp:lastModifiedBy>量子猫</cp:lastModifiedBy>
  <dcterms:modified xsi:type="dcterms:W3CDTF">2026-04-13T08:35:09Z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eyJoZGlkIjoiODQzZDUyMzNhZTJjYjUyYmY4MTAwYjIyYTk3M2FiODIiLCJ1c2VySWQiOiIxMjE3MzAxNzg3In0=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77C4DE14D30C417E91BD071928313278_12</vt:lpwstr>
  </property>
</Properties>
</file>